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rPr>
      </w:pPr>
      <w:bookmarkStart w:id="139" w:name="_GoBack"/>
      <w:bookmarkEnd w:id="139"/>
      <w:r>
        <w:rPr>
          <w:rFonts w:hint="eastAsia"/>
        </w:rPr>
        <w:t>政府投资项目咨询评估规范</w:t>
      </w:r>
    </w:p>
    <w:p>
      <w:pPr>
        <w:pStyle w:val="11"/>
        <w:ind w:left="0" w:leftChars="0" w:firstLine="0" w:firstLineChars="0"/>
        <w:jc w:val="center"/>
        <w:rPr>
          <w:rFonts w:hint="eastAsia" w:ascii="黑体" w:hAnsi="Times New Roman" w:eastAsia="黑体" w:cs="Times New Roman"/>
          <w:kern w:val="0"/>
          <w:sz w:val="32"/>
          <w:szCs w:val="20"/>
          <w:lang w:val="en-US" w:eastAsia="zh-CN" w:bidi="ar-SA"/>
        </w:rPr>
      </w:pPr>
      <w:r>
        <w:rPr>
          <w:rFonts w:hint="eastAsia" w:ascii="黑体" w:hAnsi="Times New Roman" w:eastAsia="黑体" w:cs="Times New Roman"/>
          <w:kern w:val="0"/>
          <w:sz w:val="32"/>
          <w:szCs w:val="20"/>
          <w:lang w:val="en-US" w:eastAsia="zh-CN" w:bidi="ar-SA"/>
        </w:rPr>
        <w:t>（征求意见稿）</w:t>
      </w:r>
    </w:p>
    <w:p>
      <w:pPr>
        <w:pStyle w:val="14"/>
        <w:rPr>
          <w:rFonts w:hint="eastAsia"/>
        </w:rPr>
      </w:pPr>
      <w:bookmarkStart w:id="0" w:name="_Toc7126"/>
      <w:bookmarkStart w:id="1" w:name="_Toc31044"/>
      <w:bookmarkStart w:id="2" w:name="_Toc13327"/>
      <w:bookmarkStart w:id="3" w:name="_Toc107473423"/>
      <w:bookmarkStart w:id="4" w:name="_Toc111556042"/>
      <w:bookmarkStart w:id="5" w:name="_Toc107473220"/>
      <w:bookmarkStart w:id="6" w:name="_Toc28271"/>
      <w:bookmarkStart w:id="7" w:name="_Toc3012"/>
      <w:bookmarkStart w:id="8" w:name="_Toc25053"/>
      <w:bookmarkStart w:id="9" w:name="_Toc22183"/>
      <w:bookmarkStart w:id="10" w:name="_Toc30490"/>
      <w:r>
        <w:rPr>
          <w:rFonts w:hint="eastAsia"/>
        </w:rPr>
        <w:t>范围</w:t>
      </w:r>
      <w:bookmarkEnd w:id="0"/>
      <w:bookmarkEnd w:id="1"/>
      <w:bookmarkEnd w:id="2"/>
      <w:bookmarkEnd w:id="3"/>
      <w:bookmarkEnd w:id="4"/>
      <w:bookmarkEnd w:id="5"/>
      <w:bookmarkEnd w:id="6"/>
      <w:bookmarkEnd w:id="7"/>
      <w:bookmarkEnd w:id="8"/>
      <w:bookmarkEnd w:id="9"/>
      <w:bookmarkEnd w:id="10"/>
    </w:p>
    <w:p>
      <w:pPr>
        <w:pStyle w:val="11"/>
        <w:rPr>
          <w:rFonts w:hint="eastAsia"/>
        </w:rPr>
      </w:pPr>
      <w:r>
        <w:rPr>
          <w:rFonts w:hint="eastAsia"/>
        </w:rPr>
        <w:t>本文件规定了政府投资项目咨询评估环节的基本原则、咨询评估机构、咨询评估流程、咨询评估要求和监督评价的要求。</w:t>
      </w:r>
    </w:p>
    <w:p>
      <w:pPr>
        <w:pStyle w:val="11"/>
      </w:pPr>
      <w:r>
        <w:rPr>
          <w:rFonts w:hint="eastAsia"/>
        </w:rPr>
        <w:t>本文件适用于由咨询评估机构开展的政府投资项目前期决策阶段的咨询评估。</w:t>
      </w:r>
    </w:p>
    <w:p>
      <w:pPr>
        <w:pStyle w:val="14"/>
        <w:rPr>
          <w:rFonts w:hint="eastAsia"/>
        </w:rPr>
      </w:pPr>
      <w:bookmarkStart w:id="11" w:name="_Toc24192"/>
      <w:bookmarkStart w:id="12" w:name="_Toc24767"/>
      <w:bookmarkStart w:id="13" w:name="_Toc15556"/>
      <w:bookmarkStart w:id="14" w:name="_Toc111556043"/>
      <w:bookmarkStart w:id="15" w:name="_Toc27953"/>
      <w:bookmarkStart w:id="16" w:name="_Toc5318"/>
      <w:bookmarkStart w:id="17" w:name="_Toc23540"/>
      <w:bookmarkStart w:id="18" w:name="_Toc31073"/>
      <w:bookmarkStart w:id="19" w:name="_Toc107473424"/>
      <w:bookmarkStart w:id="20" w:name="_Toc29109"/>
      <w:bookmarkStart w:id="21" w:name="_Toc107473221"/>
      <w:r>
        <w:rPr>
          <w:rFonts w:hint="eastAsia"/>
        </w:rPr>
        <w:t>规范性引用文件</w:t>
      </w:r>
      <w:bookmarkEnd w:id="11"/>
      <w:bookmarkEnd w:id="12"/>
      <w:bookmarkEnd w:id="13"/>
      <w:bookmarkEnd w:id="14"/>
      <w:bookmarkEnd w:id="15"/>
      <w:bookmarkEnd w:id="16"/>
      <w:bookmarkEnd w:id="17"/>
      <w:bookmarkEnd w:id="18"/>
      <w:bookmarkEnd w:id="19"/>
      <w:bookmarkEnd w:id="20"/>
      <w:bookmarkEnd w:id="21"/>
    </w:p>
    <w:p>
      <w:pPr>
        <w:pStyle w:val="11"/>
      </w:pPr>
      <w:r>
        <w:rPr>
          <w:rFonts w:hint="eastAsia"/>
        </w:rPr>
        <w:t>本文件没有规范性引用文件。</w:t>
      </w:r>
    </w:p>
    <w:p>
      <w:pPr>
        <w:pStyle w:val="14"/>
        <w:rPr>
          <w:rFonts w:hint="eastAsia"/>
        </w:rPr>
      </w:pPr>
      <w:bookmarkStart w:id="22" w:name="_Toc17389"/>
      <w:bookmarkStart w:id="23" w:name="_Toc22236"/>
      <w:bookmarkStart w:id="24" w:name="_Toc111556044"/>
      <w:bookmarkStart w:id="25" w:name="_Toc15417"/>
      <w:bookmarkStart w:id="26" w:name="_Toc20167"/>
      <w:bookmarkStart w:id="27" w:name="_Toc8893"/>
      <w:bookmarkStart w:id="28" w:name="_Toc107473222"/>
      <w:bookmarkStart w:id="29" w:name="_Toc16913"/>
      <w:bookmarkStart w:id="30" w:name="_Toc24231"/>
      <w:bookmarkStart w:id="31" w:name="_Toc17731"/>
      <w:bookmarkStart w:id="32" w:name="_Toc107473425"/>
      <w:r>
        <w:rPr>
          <w:rFonts w:hint="eastAsia"/>
        </w:rPr>
        <w:t>术语和定义</w:t>
      </w:r>
      <w:bookmarkEnd w:id="22"/>
      <w:bookmarkEnd w:id="23"/>
      <w:bookmarkEnd w:id="24"/>
      <w:bookmarkEnd w:id="25"/>
      <w:bookmarkEnd w:id="26"/>
      <w:bookmarkEnd w:id="27"/>
      <w:bookmarkEnd w:id="28"/>
      <w:bookmarkEnd w:id="29"/>
      <w:bookmarkEnd w:id="30"/>
      <w:bookmarkEnd w:id="31"/>
      <w:bookmarkEnd w:id="32"/>
    </w:p>
    <w:p>
      <w:pPr>
        <w:pStyle w:val="11"/>
        <w:rPr>
          <w:rFonts w:hint="eastAsia"/>
        </w:rPr>
      </w:pPr>
      <w:r>
        <w:rPr>
          <w:rFonts w:hint="eastAsia"/>
        </w:rPr>
        <w:t>下列术语和定义适用于本文件。</w:t>
      </w:r>
    </w:p>
    <w:p>
      <w:pPr>
        <w:pStyle w:val="15"/>
        <w:rPr>
          <w:rFonts w:hint="eastAsia"/>
        </w:rPr>
      </w:pPr>
    </w:p>
    <w:p>
      <w:pPr>
        <w:pStyle w:val="11"/>
        <w:rPr>
          <w:rFonts w:ascii="黑体" w:hAnsi="黑体" w:eastAsia="黑体" w:cs="黑体"/>
        </w:rPr>
      </w:pPr>
      <w:r>
        <w:rPr>
          <w:rFonts w:hint="eastAsia" w:ascii="黑体" w:hAnsi="黑体" w:eastAsia="黑体" w:cs="黑体"/>
        </w:rPr>
        <w:t xml:space="preserve">政府投资项目 </w:t>
      </w:r>
      <w:r>
        <w:rPr>
          <w:rFonts w:ascii="黑体" w:hAnsi="黑体" w:eastAsia="黑体" w:cs="黑体"/>
        </w:rPr>
        <w:t xml:space="preserve"> government investment projects</w:t>
      </w:r>
    </w:p>
    <w:p>
      <w:pPr>
        <w:pStyle w:val="11"/>
      </w:pPr>
      <w:r>
        <w:rPr>
          <w:rFonts w:hint="eastAsia"/>
        </w:rPr>
        <w:t>使用政府预算安排的资金进行固定资产投资建设的项目。</w:t>
      </w:r>
    </w:p>
    <w:p>
      <w:pPr>
        <w:pStyle w:val="15"/>
        <w:rPr>
          <w:rFonts w:hint="eastAsia"/>
        </w:rPr>
      </w:pPr>
    </w:p>
    <w:p>
      <w:pPr>
        <w:pStyle w:val="11"/>
        <w:rPr>
          <w:rFonts w:ascii="黑体" w:hAnsi="黑体" w:eastAsia="黑体" w:cs="黑体"/>
        </w:rPr>
      </w:pPr>
      <w:r>
        <w:rPr>
          <w:rFonts w:hint="eastAsia" w:ascii="黑体" w:hAnsi="黑体" w:eastAsia="黑体" w:cs="黑体"/>
        </w:rPr>
        <w:t>政府投资管理部门</w:t>
      </w:r>
      <w:r>
        <w:rPr>
          <w:rFonts w:ascii="黑体" w:hAnsi="黑体" w:eastAsia="黑体" w:cs="黑体"/>
        </w:rPr>
        <w:t xml:space="preserve">  investment authorities</w:t>
      </w:r>
    </w:p>
    <w:p>
      <w:pPr>
        <w:pStyle w:val="11"/>
        <w:rPr>
          <w:rFonts w:hint="eastAsia"/>
        </w:rPr>
      </w:pPr>
      <w:r>
        <w:rPr>
          <w:rFonts w:hint="eastAsia"/>
        </w:rPr>
        <w:t>依法履行政府投资项目的决策、事中事后监管等职能的投资主管部门和其他有关部门。</w:t>
      </w:r>
    </w:p>
    <w:p>
      <w:pPr>
        <w:pStyle w:val="15"/>
        <w:rPr>
          <w:rFonts w:hint="eastAsia"/>
        </w:rPr>
      </w:pPr>
    </w:p>
    <w:p>
      <w:pPr>
        <w:pStyle w:val="11"/>
        <w:rPr>
          <w:rFonts w:hint="eastAsia" w:ascii="黑体" w:hAnsi="黑体" w:eastAsia="黑体" w:cs="黑体"/>
        </w:rPr>
      </w:pPr>
      <w:r>
        <w:rPr>
          <w:rFonts w:hint="eastAsia" w:ascii="黑体" w:hAnsi="黑体" w:eastAsia="黑体" w:cs="黑体"/>
        </w:rPr>
        <w:t>项目单位</w:t>
      </w:r>
      <w:r>
        <w:rPr>
          <w:rFonts w:ascii="黑体" w:hAnsi="黑体" w:eastAsia="黑体" w:cs="黑体"/>
        </w:rPr>
        <w:t xml:space="preserve">  project entities</w:t>
      </w:r>
    </w:p>
    <w:p>
      <w:pPr>
        <w:pStyle w:val="11"/>
      </w:pPr>
      <w:r>
        <w:rPr>
          <w:rFonts w:hint="eastAsia"/>
        </w:rPr>
        <w:t>政府投资项目的具体实施单位。</w:t>
      </w:r>
    </w:p>
    <w:p>
      <w:pPr>
        <w:pStyle w:val="15"/>
        <w:rPr>
          <w:rFonts w:hint="eastAsia"/>
        </w:rPr>
      </w:pPr>
    </w:p>
    <w:p>
      <w:pPr>
        <w:pStyle w:val="11"/>
        <w:rPr>
          <w:rFonts w:ascii="黑体" w:hAnsi="黑体" w:eastAsia="黑体" w:cs="黑体"/>
        </w:rPr>
      </w:pPr>
      <w:r>
        <w:rPr>
          <w:rFonts w:hint="eastAsia" w:ascii="黑体" w:hAnsi="黑体" w:eastAsia="黑体" w:cs="黑体"/>
        </w:rPr>
        <w:t>咨询评估</w:t>
      </w:r>
      <w:r>
        <w:rPr>
          <w:rFonts w:ascii="黑体" w:hAnsi="黑体" w:eastAsia="黑体" w:cs="黑体"/>
        </w:rPr>
        <w:t xml:space="preserve">  consultancy and evaluation</w:t>
      </w:r>
    </w:p>
    <w:p>
      <w:pPr>
        <w:pStyle w:val="11"/>
        <w:rPr>
          <w:rFonts w:hint="eastAsia"/>
        </w:rPr>
      </w:pPr>
      <w:r>
        <w:rPr>
          <w:rFonts w:hint="eastAsia"/>
        </w:rPr>
        <w:t>遵循规范性文件，依照相关程序，运用科学方法进行分析评价，为政府投资项目科学决策提供专业性意见和建议的行为和过程。</w:t>
      </w:r>
    </w:p>
    <w:p>
      <w:pPr>
        <w:pStyle w:val="15"/>
        <w:rPr>
          <w:rFonts w:hint="eastAsia"/>
        </w:rPr>
      </w:pPr>
    </w:p>
    <w:p>
      <w:pPr>
        <w:pStyle w:val="11"/>
        <w:rPr>
          <w:rFonts w:ascii="黑体" w:hAnsi="黑体" w:eastAsia="黑体" w:cs="黑体"/>
        </w:rPr>
      </w:pPr>
      <w:r>
        <w:rPr>
          <w:rFonts w:hint="eastAsia" w:ascii="黑体" w:hAnsi="黑体" w:eastAsia="黑体" w:cs="黑体"/>
        </w:rPr>
        <w:t>咨询评估机构  c</w:t>
      </w:r>
      <w:r>
        <w:rPr>
          <w:rFonts w:ascii="黑体" w:hAnsi="黑体" w:eastAsia="黑体" w:cs="黑体"/>
        </w:rPr>
        <w:t>onsultancy and evaluation agencies</w:t>
      </w:r>
    </w:p>
    <w:p>
      <w:pPr>
        <w:pStyle w:val="11"/>
        <w:rPr>
          <w:rFonts w:hint="eastAsia"/>
        </w:rPr>
      </w:pPr>
      <w:r>
        <w:rPr>
          <w:rFonts w:hint="eastAsia"/>
        </w:rPr>
        <w:t>承担政府投资项目咨询评估任务的第三方服务机构。</w:t>
      </w:r>
    </w:p>
    <w:p>
      <w:pPr>
        <w:pStyle w:val="11"/>
        <w:rPr>
          <w:rFonts w:hint="eastAsia"/>
        </w:rPr>
      </w:pPr>
    </w:p>
    <w:p>
      <w:pPr>
        <w:pStyle w:val="11"/>
        <w:rPr>
          <w:rFonts w:hint="eastAsia"/>
        </w:rPr>
      </w:pPr>
    </w:p>
    <w:p>
      <w:pPr>
        <w:pStyle w:val="11"/>
        <w:rPr>
          <w:rFonts w:hint="eastAsia"/>
        </w:rPr>
      </w:pPr>
    </w:p>
    <w:p>
      <w:pPr>
        <w:pStyle w:val="14"/>
        <w:rPr>
          <w:rFonts w:hint="eastAsia"/>
        </w:rPr>
      </w:pPr>
      <w:bookmarkStart w:id="33" w:name="_Toc107473426"/>
      <w:bookmarkStart w:id="34" w:name="_Toc111556045"/>
      <w:bookmarkStart w:id="35" w:name="_Toc16835"/>
      <w:bookmarkStart w:id="36" w:name="_Toc27775"/>
      <w:bookmarkStart w:id="37" w:name="_Toc10776"/>
      <w:bookmarkStart w:id="38" w:name="_Toc107473223"/>
      <w:bookmarkStart w:id="39" w:name="_Toc2550"/>
      <w:bookmarkStart w:id="40" w:name="_Toc5959"/>
      <w:bookmarkStart w:id="41" w:name="_Toc17890"/>
      <w:bookmarkStart w:id="42" w:name="_Toc1036"/>
      <w:bookmarkStart w:id="43" w:name="_Toc9327"/>
      <w:r>
        <w:rPr>
          <w:rFonts w:hint="eastAsia"/>
        </w:rPr>
        <w:t>基本原则</w:t>
      </w:r>
    </w:p>
    <w:p>
      <w:pPr>
        <w:pStyle w:val="15"/>
        <w:rPr>
          <w:rFonts w:hint="eastAsia"/>
        </w:rPr>
      </w:pPr>
      <w:r>
        <w:rPr>
          <w:rFonts w:hint="eastAsia"/>
        </w:rPr>
        <w:t>独立原则</w:t>
      </w:r>
    </w:p>
    <w:p>
      <w:pPr>
        <w:pStyle w:val="11"/>
        <w:rPr>
          <w:rFonts w:hint="eastAsia"/>
        </w:rPr>
      </w:pPr>
      <w:r>
        <w:rPr>
          <w:rFonts w:hint="eastAsia"/>
        </w:rPr>
        <w:t>咨询评估机构应不受外界干扰，独立开展评估活动，自主形成评估结果。</w:t>
      </w:r>
    </w:p>
    <w:p>
      <w:pPr>
        <w:pStyle w:val="15"/>
        <w:rPr>
          <w:rFonts w:hint="eastAsia"/>
        </w:rPr>
      </w:pPr>
      <w:r>
        <w:rPr>
          <w:rFonts w:hint="eastAsia"/>
        </w:rPr>
        <w:t>客观原则</w:t>
      </w:r>
    </w:p>
    <w:p>
      <w:pPr>
        <w:pStyle w:val="16"/>
        <w:rPr>
          <w:rFonts w:hint="eastAsia"/>
        </w:rPr>
      </w:pPr>
      <w:r>
        <w:rPr>
          <w:rFonts w:hint="eastAsia"/>
        </w:rPr>
        <w:t>咨询评估应公平、全面、实事求是，不受个人主观偏见的影响。</w:t>
      </w:r>
    </w:p>
    <w:p>
      <w:pPr>
        <w:pStyle w:val="16"/>
        <w:rPr>
          <w:rFonts w:hint="eastAsia"/>
        </w:rPr>
      </w:pPr>
      <w:r>
        <w:rPr>
          <w:rFonts w:hint="eastAsia"/>
        </w:rPr>
        <w:t>咨询评估机构应平等对待项目单位，提供无差别化服务。</w:t>
      </w:r>
    </w:p>
    <w:p>
      <w:pPr>
        <w:pStyle w:val="16"/>
        <w:rPr>
          <w:rFonts w:hint="eastAsia"/>
        </w:rPr>
      </w:pPr>
      <w:r>
        <w:rPr>
          <w:rFonts w:hint="eastAsia"/>
        </w:rPr>
        <w:t>咨询评估相关各方应诚实守信，评估证据真实充分，评估结果准确可靠。</w:t>
      </w:r>
    </w:p>
    <w:p>
      <w:pPr>
        <w:pStyle w:val="15"/>
        <w:rPr>
          <w:rFonts w:hint="eastAsia"/>
        </w:rPr>
      </w:pPr>
      <w:r>
        <w:rPr>
          <w:rFonts w:hint="eastAsia"/>
        </w:rPr>
        <w:t>科学原则</w:t>
      </w:r>
    </w:p>
    <w:p>
      <w:pPr>
        <w:pStyle w:val="11"/>
        <w:rPr>
          <w:rFonts w:hint="eastAsia"/>
        </w:rPr>
      </w:pPr>
      <w:r>
        <w:rPr>
          <w:rFonts w:hint="eastAsia"/>
        </w:rPr>
        <w:t>应充分考虑评估对象的专业性、系统性和多样性，符合政府投资项目建设的规律和特点，采用科学合理的评估方法和评估标准开展评估工作。</w:t>
      </w:r>
    </w:p>
    <w:p>
      <w:pPr>
        <w:pStyle w:val="15"/>
        <w:rPr>
          <w:rFonts w:hint="eastAsia"/>
        </w:rPr>
      </w:pPr>
      <w:r>
        <w:rPr>
          <w:rFonts w:hint="eastAsia"/>
        </w:rPr>
        <w:t>高效原则</w:t>
      </w:r>
    </w:p>
    <w:p>
      <w:pPr>
        <w:pStyle w:val="11"/>
        <w:rPr>
          <w:rFonts w:hint="eastAsia"/>
        </w:rPr>
      </w:pPr>
      <w:r>
        <w:rPr>
          <w:rFonts w:hint="eastAsia"/>
        </w:rPr>
        <w:t>咨询评估应务实高效，应注重优化工作流程、压缩工作时限、精简资料文件。</w:t>
      </w:r>
    </w:p>
    <w:bookmarkEnd w:id="33"/>
    <w:bookmarkEnd w:id="34"/>
    <w:bookmarkEnd w:id="35"/>
    <w:bookmarkEnd w:id="36"/>
    <w:bookmarkEnd w:id="37"/>
    <w:bookmarkEnd w:id="38"/>
    <w:bookmarkEnd w:id="39"/>
    <w:bookmarkEnd w:id="40"/>
    <w:p>
      <w:pPr>
        <w:pStyle w:val="15"/>
        <w:rPr>
          <w:rFonts w:hint="eastAsia"/>
        </w:rPr>
      </w:pPr>
      <w:r>
        <w:rPr>
          <w:rFonts w:hint="eastAsia"/>
        </w:rPr>
        <w:t>回避原则</w:t>
      </w:r>
    </w:p>
    <w:p>
      <w:pPr>
        <w:pStyle w:val="11"/>
        <w:rPr>
          <w:rFonts w:hint="eastAsia"/>
        </w:rPr>
      </w:pPr>
      <w:r>
        <w:rPr>
          <w:rFonts w:hint="eastAsia"/>
        </w:rPr>
        <w:t>咨询评估活动应遵循利害回避要求。承担咨询评估任务的机构和评估人员不应与政府投资项目存在利益关系或直接行政隶属关系。</w:t>
      </w:r>
    </w:p>
    <w:p>
      <w:pPr>
        <w:pStyle w:val="15"/>
        <w:rPr>
          <w:rFonts w:hint="eastAsia"/>
        </w:rPr>
      </w:pPr>
      <w:r>
        <w:rPr>
          <w:rFonts w:hint="eastAsia"/>
        </w:rPr>
        <w:t>保密原则</w:t>
      </w:r>
    </w:p>
    <w:p>
      <w:pPr>
        <w:pStyle w:val="11"/>
        <w:rPr>
          <w:rFonts w:hint="eastAsia"/>
        </w:rPr>
      </w:pPr>
      <w:r>
        <w:rPr>
          <w:rFonts w:hint="eastAsia"/>
        </w:rPr>
        <w:t>咨询评估机构应建立保密制度，明确保密内容、保密措施、保密责任等，并与相关人员签订保密协议。</w:t>
      </w:r>
    </w:p>
    <w:p>
      <w:pPr>
        <w:pStyle w:val="14"/>
      </w:pPr>
      <w:bookmarkStart w:id="44" w:name="_Toc32369"/>
      <w:bookmarkStart w:id="45" w:name="_Toc107473427"/>
      <w:bookmarkStart w:id="46" w:name="_Toc26536"/>
      <w:bookmarkStart w:id="47" w:name="_Toc107473224"/>
      <w:bookmarkStart w:id="48" w:name="_Toc4314"/>
      <w:bookmarkStart w:id="49" w:name="_Toc14380"/>
      <w:bookmarkStart w:id="50" w:name="_Toc20831"/>
      <w:bookmarkStart w:id="51" w:name="_Toc111556046"/>
      <w:r>
        <w:rPr>
          <w:rFonts w:hint="eastAsia"/>
        </w:rPr>
        <w:t>咨询评估机构</w:t>
      </w:r>
      <w:bookmarkEnd w:id="44"/>
      <w:bookmarkEnd w:id="45"/>
      <w:bookmarkEnd w:id="46"/>
      <w:bookmarkEnd w:id="47"/>
      <w:bookmarkEnd w:id="48"/>
      <w:bookmarkEnd w:id="49"/>
      <w:bookmarkEnd w:id="50"/>
      <w:bookmarkEnd w:id="51"/>
    </w:p>
    <w:p>
      <w:pPr>
        <w:pStyle w:val="15"/>
        <w:rPr>
          <w:rFonts w:hint="eastAsia"/>
        </w:rPr>
      </w:pPr>
      <w:r>
        <w:rPr>
          <w:rFonts w:hint="eastAsia"/>
        </w:rPr>
        <w:t>机构条件</w:t>
      </w:r>
    </w:p>
    <w:p>
      <w:pPr>
        <w:pStyle w:val="16"/>
        <w:rPr>
          <w:rFonts w:hint="eastAsia"/>
        </w:rPr>
      </w:pPr>
      <w:r>
        <w:rPr>
          <w:rFonts w:hint="eastAsia"/>
        </w:rPr>
        <w:t>咨询评估机构应具备相应工程咨询（设计）行业从业资信（质）。</w:t>
      </w:r>
    </w:p>
    <w:p>
      <w:pPr>
        <w:pStyle w:val="16"/>
        <w:rPr>
          <w:rFonts w:hint="eastAsia"/>
        </w:rPr>
      </w:pPr>
      <w:r>
        <w:rPr>
          <w:rFonts w:hint="eastAsia"/>
        </w:rPr>
        <w:t>咨询评估机构应具有相关专业项目建议书、可行性研究报告、初步设计和调整概算编制或咨询评估工作业绩。</w:t>
      </w:r>
    </w:p>
    <w:p>
      <w:pPr>
        <w:pStyle w:val="16"/>
        <w:rPr>
          <w:rFonts w:hint="eastAsia"/>
        </w:rPr>
      </w:pPr>
      <w:r>
        <w:rPr>
          <w:rFonts w:hint="eastAsia"/>
        </w:rPr>
        <w:t>咨询评估机构应具备实施咨询评估工作必要的场地和设施，</w:t>
      </w:r>
      <w:r>
        <w:t>能够满足现场踏勘、会议召开</w:t>
      </w:r>
      <w:r>
        <w:rPr>
          <w:rFonts w:hint="eastAsia"/>
        </w:rPr>
        <w:t>和</w:t>
      </w:r>
      <w:r>
        <w:t>档案保存等活动</w:t>
      </w:r>
      <w:r>
        <w:rPr>
          <w:rFonts w:hint="eastAsia"/>
        </w:rPr>
        <w:t>的开展</w:t>
      </w:r>
      <w:r>
        <w:t>。</w:t>
      </w:r>
    </w:p>
    <w:p>
      <w:pPr>
        <w:pStyle w:val="15"/>
        <w:rPr>
          <w:rFonts w:hint="eastAsia"/>
        </w:rPr>
      </w:pPr>
      <w:r>
        <w:rPr>
          <w:rFonts w:hint="eastAsia"/>
        </w:rPr>
        <w:t>机构管理</w:t>
      </w:r>
    </w:p>
    <w:p>
      <w:pPr>
        <w:pStyle w:val="16"/>
        <w:rPr>
          <w:rFonts w:hint="eastAsia"/>
        </w:rPr>
      </w:pPr>
      <w:r>
        <w:rPr>
          <w:rFonts w:hint="eastAsia"/>
        </w:rPr>
        <w:t>应制定咨询评估相关管理制度、工作流程、业务表单及工作记录等。</w:t>
      </w:r>
    </w:p>
    <w:p>
      <w:pPr>
        <w:pStyle w:val="16"/>
        <w:rPr>
          <w:rFonts w:hint="eastAsia"/>
        </w:rPr>
      </w:pPr>
      <w:r>
        <w:rPr>
          <w:rFonts w:hint="eastAsia"/>
        </w:rPr>
        <w:t>应及时收集更新咨询评估和各专业领域的法律、法规、政策及标准规范等。</w:t>
      </w:r>
    </w:p>
    <w:p>
      <w:pPr>
        <w:pStyle w:val="16"/>
        <w:rPr>
          <w:rFonts w:hint="eastAsia"/>
        </w:rPr>
      </w:pPr>
      <w:r>
        <w:rPr>
          <w:rFonts w:hint="eastAsia"/>
        </w:rPr>
        <w:t>承担涉密项目的咨询评估机构应建立保密管理制度,涉密项目应与相关方签署保密协议。</w:t>
      </w:r>
    </w:p>
    <w:p>
      <w:pPr>
        <w:pStyle w:val="15"/>
      </w:pPr>
      <w:r>
        <w:rPr>
          <w:rFonts w:hint="eastAsia"/>
        </w:rPr>
        <w:t>评估管理人员</w:t>
      </w:r>
    </w:p>
    <w:p>
      <w:pPr>
        <w:pStyle w:val="16"/>
        <w:rPr>
          <w:rFonts w:hint="eastAsia"/>
        </w:rPr>
      </w:pPr>
      <w:r>
        <w:rPr>
          <w:rFonts w:hint="eastAsia"/>
        </w:rPr>
        <w:t>咨询评估机构应组建满足咨询评估工作需求的专职评估管理人员团队，并对其进行业务培训、监督和考核。</w:t>
      </w:r>
    </w:p>
    <w:p>
      <w:pPr>
        <w:pStyle w:val="16"/>
        <w:rPr>
          <w:rFonts w:hint="eastAsia"/>
        </w:rPr>
      </w:pPr>
      <w:r>
        <w:rPr>
          <w:rFonts w:hint="eastAsia"/>
        </w:rPr>
        <w:t>评估管理人员负责咨询评估工作的组织策划、协调沟通、资源调配、项目管理和质量控制等内容。</w:t>
      </w:r>
    </w:p>
    <w:p>
      <w:pPr>
        <w:pStyle w:val="16"/>
        <w:rPr>
          <w:rFonts w:hint="eastAsia"/>
        </w:rPr>
      </w:pPr>
      <w:r>
        <w:rPr>
          <w:rFonts w:hint="eastAsia"/>
        </w:rPr>
        <w:t>评估管理人员所具备的条件应包括但不限于：</w:t>
      </w:r>
    </w:p>
    <w:p>
      <w:pPr>
        <w:pStyle w:val="18"/>
        <w:numPr>
          <w:ilvl w:val="0"/>
          <w:numId w:val="6"/>
        </w:numPr>
        <w:rPr>
          <w:rFonts w:hint="eastAsia"/>
        </w:rPr>
      </w:pPr>
      <w:r>
        <w:rPr>
          <w:rFonts w:hint="eastAsia"/>
        </w:rPr>
        <w:t>持有中华人民共和国咨询工程师（投资）职业登记证或工程设计专业资格注册证；</w:t>
      </w:r>
    </w:p>
    <w:p>
      <w:pPr>
        <w:pStyle w:val="18"/>
        <w:numPr>
          <w:ilvl w:val="0"/>
          <w:numId w:val="6"/>
        </w:numPr>
        <w:rPr>
          <w:rFonts w:hint="eastAsia"/>
        </w:rPr>
      </w:pPr>
      <w:r>
        <w:rPr>
          <w:rFonts w:hint="eastAsia"/>
        </w:rPr>
        <w:t>具备较强的组织、协调、沟通和服务能力；</w:t>
      </w:r>
    </w:p>
    <w:p>
      <w:pPr>
        <w:pStyle w:val="18"/>
        <w:numPr>
          <w:ilvl w:val="0"/>
          <w:numId w:val="6"/>
        </w:numPr>
        <w:rPr>
          <w:rFonts w:hint="eastAsia"/>
        </w:rPr>
      </w:pPr>
      <w:r>
        <w:rPr>
          <w:rFonts w:hint="eastAsia"/>
        </w:rPr>
        <w:t>熟悉相关法律法规、政策，掌握政府投资项目咨询评估流程、业务技能。</w:t>
      </w:r>
    </w:p>
    <w:p>
      <w:pPr>
        <w:pStyle w:val="15"/>
        <w:rPr>
          <w:rFonts w:hint="eastAsia"/>
        </w:rPr>
      </w:pPr>
      <w:r>
        <w:rPr>
          <w:rFonts w:hint="eastAsia"/>
        </w:rPr>
        <w:t>评估专家</w:t>
      </w:r>
    </w:p>
    <w:p>
      <w:pPr>
        <w:pStyle w:val="16"/>
        <w:rPr>
          <w:rFonts w:hint="eastAsia"/>
        </w:rPr>
      </w:pPr>
      <w:r>
        <w:rPr>
          <w:rFonts w:hint="eastAsia"/>
        </w:rPr>
        <w:t>咨询评估机构应掌握有关专业领域的评估专家资源，建立评估专家队伍，制定评估专家遴选、使用、考核等管理制度。</w:t>
      </w:r>
    </w:p>
    <w:p>
      <w:pPr>
        <w:pStyle w:val="16"/>
        <w:rPr>
          <w:rFonts w:hint="eastAsia"/>
        </w:rPr>
      </w:pPr>
      <w:r>
        <w:rPr>
          <w:rFonts w:hint="eastAsia"/>
        </w:rPr>
        <w:t>评估专家所具备的条件应包括但不限于：</w:t>
      </w:r>
    </w:p>
    <w:p>
      <w:pPr>
        <w:pStyle w:val="18"/>
        <w:numPr>
          <w:ilvl w:val="0"/>
          <w:numId w:val="7"/>
        </w:numPr>
        <w:rPr>
          <w:rFonts w:hint="eastAsia"/>
        </w:rPr>
      </w:pPr>
      <w:r>
        <w:rPr>
          <w:rFonts w:hint="eastAsia"/>
        </w:rPr>
        <w:t>具备</w:t>
      </w:r>
      <w:r>
        <w:t>高级技术职称或同等专业水平；</w:t>
      </w:r>
    </w:p>
    <w:p>
      <w:pPr>
        <w:pStyle w:val="18"/>
        <w:numPr>
          <w:ilvl w:val="0"/>
          <w:numId w:val="7"/>
        </w:numPr>
        <w:rPr>
          <w:rFonts w:hint="eastAsia"/>
        </w:rPr>
      </w:pPr>
      <w:r>
        <w:rPr>
          <w:rFonts w:hint="eastAsia"/>
        </w:rPr>
        <w:t>熟悉掌握项目</w:t>
      </w:r>
      <w:r>
        <w:t>咨询、设计、</w:t>
      </w:r>
      <w:r>
        <w:rPr>
          <w:rFonts w:hint="eastAsia"/>
        </w:rPr>
        <w:t>建设的法律、法规和标准规范，具有丰富的评审工作经验；</w:t>
      </w:r>
    </w:p>
    <w:p>
      <w:pPr>
        <w:pStyle w:val="18"/>
        <w:numPr>
          <w:ilvl w:val="0"/>
          <w:numId w:val="7"/>
        </w:numPr>
        <w:rPr>
          <w:rFonts w:hint="eastAsia"/>
        </w:rPr>
      </w:pPr>
      <w:r>
        <w:t>具有</w:t>
      </w:r>
      <w:r>
        <w:rPr>
          <w:rFonts w:hint="eastAsia"/>
        </w:rPr>
        <w:t>良好</w:t>
      </w:r>
      <w:r>
        <w:t>职业道德</w:t>
      </w:r>
      <w:r>
        <w:rPr>
          <w:rFonts w:hint="eastAsia"/>
        </w:rPr>
        <w:t>，清正廉洁，无不良记录</w:t>
      </w:r>
      <w:r>
        <w:t>。</w:t>
      </w:r>
    </w:p>
    <w:p>
      <w:pPr>
        <w:pStyle w:val="16"/>
        <w:rPr>
          <w:rFonts w:hint="eastAsia"/>
        </w:rPr>
      </w:pPr>
      <w:r>
        <w:rPr>
          <w:rFonts w:hint="eastAsia"/>
        </w:rPr>
        <w:t>应编制评估专家手册，手册应包括但不限于以下内容：</w:t>
      </w:r>
    </w:p>
    <w:p>
      <w:pPr>
        <w:pStyle w:val="18"/>
        <w:rPr>
          <w:rFonts w:hint="eastAsia"/>
        </w:rPr>
      </w:pPr>
      <w:r>
        <w:rPr>
          <w:rFonts w:hint="eastAsia"/>
        </w:rPr>
        <w:t>评估专家的工作职责和纪律守则；</w:t>
      </w:r>
    </w:p>
    <w:p>
      <w:pPr>
        <w:pStyle w:val="18"/>
        <w:rPr>
          <w:rFonts w:hint="eastAsia"/>
        </w:rPr>
      </w:pPr>
      <w:r>
        <w:rPr>
          <w:rFonts w:hint="eastAsia"/>
        </w:rPr>
        <w:t>评估工作程序和要求。</w:t>
      </w:r>
    </w:p>
    <w:p>
      <w:pPr>
        <w:pStyle w:val="14"/>
        <w:rPr>
          <w:rFonts w:hint="eastAsia"/>
        </w:rPr>
      </w:pPr>
      <w:bookmarkStart w:id="52" w:name="_Toc107473226"/>
      <w:bookmarkStart w:id="53" w:name="_Toc107473429"/>
      <w:bookmarkStart w:id="54" w:name="_Toc111556047"/>
      <w:bookmarkStart w:id="55" w:name="_Toc11825"/>
      <w:bookmarkStart w:id="56" w:name="_Toc944"/>
      <w:bookmarkStart w:id="57" w:name="_Toc26107"/>
      <w:bookmarkStart w:id="58" w:name="_Toc19800"/>
      <w:bookmarkStart w:id="59" w:name="_Toc4356"/>
      <w:r>
        <w:rPr>
          <w:rFonts w:hint="eastAsia"/>
        </w:rPr>
        <w:t>咨询评估流程</w:t>
      </w:r>
      <w:bookmarkEnd w:id="52"/>
      <w:bookmarkEnd w:id="53"/>
      <w:bookmarkEnd w:id="54"/>
      <w:bookmarkEnd w:id="55"/>
      <w:bookmarkEnd w:id="56"/>
    </w:p>
    <w:p>
      <w:pPr>
        <w:pStyle w:val="11"/>
      </w:pPr>
      <w:r>
        <w:rPr>
          <w:rFonts w:hint="eastAsia"/>
        </w:rPr>
        <w:t>咨询评估流程参见图A.1。</w:t>
      </w:r>
    </w:p>
    <w:bookmarkEnd w:id="41"/>
    <w:bookmarkEnd w:id="42"/>
    <w:bookmarkEnd w:id="43"/>
    <w:bookmarkEnd w:id="57"/>
    <w:bookmarkEnd w:id="58"/>
    <w:bookmarkEnd w:id="59"/>
    <w:p>
      <w:pPr>
        <w:pStyle w:val="14"/>
      </w:pPr>
      <w:bookmarkStart w:id="60" w:name="_Toc19274"/>
      <w:bookmarkStart w:id="61" w:name="_Toc28746"/>
      <w:bookmarkStart w:id="62" w:name="_Toc22179"/>
      <w:bookmarkStart w:id="63" w:name="_Toc22958"/>
      <w:bookmarkStart w:id="64" w:name="_Toc107473227"/>
      <w:bookmarkStart w:id="65" w:name="_Toc111556048"/>
      <w:bookmarkStart w:id="66" w:name="_Toc107473430"/>
      <w:bookmarkStart w:id="67" w:name="_Toc5086"/>
      <w:bookmarkStart w:id="68" w:name="_Toc17544"/>
      <w:bookmarkStart w:id="69" w:name="_Toc4173"/>
      <w:bookmarkStart w:id="70" w:name="_Toc1032"/>
      <w:r>
        <w:rPr>
          <w:rFonts w:hint="eastAsia"/>
        </w:rPr>
        <w:t>咨询评估</w:t>
      </w:r>
      <w:bookmarkEnd w:id="60"/>
      <w:bookmarkEnd w:id="61"/>
      <w:bookmarkEnd w:id="62"/>
      <w:r>
        <w:rPr>
          <w:rFonts w:hint="eastAsia"/>
        </w:rPr>
        <w:t>要求</w:t>
      </w:r>
      <w:bookmarkEnd w:id="63"/>
      <w:bookmarkEnd w:id="64"/>
      <w:bookmarkEnd w:id="65"/>
      <w:bookmarkEnd w:id="66"/>
      <w:bookmarkEnd w:id="67"/>
    </w:p>
    <w:p>
      <w:pPr>
        <w:pStyle w:val="15"/>
      </w:pPr>
      <w:r>
        <w:rPr>
          <w:rFonts w:hint="eastAsia"/>
        </w:rPr>
        <w:t>接受委托</w:t>
      </w:r>
    </w:p>
    <w:p>
      <w:pPr>
        <w:pStyle w:val="16"/>
        <w:rPr>
          <w:rFonts w:hint="eastAsia"/>
        </w:rPr>
      </w:pPr>
      <w:r>
        <w:rPr>
          <w:rFonts w:hint="eastAsia"/>
        </w:rPr>
        <w:t>政府投资管理部门应按照专业对应原则选择咨询评估机构，并向其出具咨询评估委托书和移交项目技术文本。</w:t>
      </w:r>
    </w:p>
    <w:p>
      <w:pPr>
        <w:pStyle w:val="16"/>
      </w:pPr>
      <w:r>
        <w:t>咨询评估委托书应明确咨询评估服务内容和重点，确定完成时限、评估</w:t>
      </w:r>
      <w:r>
        <w:rPr>
          <w:rFonts w:hint="eastAsia"/>
        </w:rPr>
        <w:t>成果、评估费用</w:t>
      </w:r>
      <w:r>
        <w:t>等其他应当约定的事项。</w:t>
      </w:r>
    </w:p>
    <w:p>
      <w:pPr>
        <w:pStyle w:val="16"/>
        <w:rPr>
          <w:rFonts w:hint="eastAsia"/>
        </w:rPr>
      </w:pPr>
      <w:r>
        <w:rPr>
          <w:rFonts w:hint="eastAsia"/>
        </w:rPr>
        <w:t>项目技术文本包括但不限于：</w:t>
      </w:r>
    </w:p>
    <w:p>
      <w:pPr>
        <w:pStyle w:val="18"/>
        <w:numPr>
          <w:ilvl w:val="0"/>
          <w:numId w:val="8"/>
        </w:numPr>
        <w:rPr>
          <w:rFonts w:hint="eastAsia"/>
        </w:rPr>
      </w:pPr>
      <w:r>
        <w:rPr>
          <w:rFonts w:hint="eastAsia"/>
        </w:rPr>
        <w:t>项目建议书（上位规划、会议纪要）；</w:t>
      </w:r>
    </w:p>
    <w:p>
      <w:pPr>
        <w:pStyle w:val="18"/>
        <w:numPr>
          <w:ilvl w:val="0"/>
          <w:numId w:val="8"/>
        </w:numPr>
        <w:rPr>
          <w:rFonts w:hint="eastAsia"/>
        </w:rPr>
      </w:pPr>
      <w:r>
        <w:rPr>
          <w:rFonts w:hint="eastAsia"/>
        </w:rPr>
        <w:t>可行性研究报告（文本、图册、附件）；</w:t>
      </w:r>
    </w:p>
    <w:p>
      <w:pPr>
        <w:pStyle w:val="18"/>
        <w:numPr>
          <w:ilvl w:val="0"/>
          <w:numId w:val="8"/>
        </w:numPr>
        <w:rPr>
          <w:rFonts w:hint="eastAsia"/>
        </w:rPr>
      </w:pPr>
      <w:r>
        <w:rPr>
          <w:rFonts w:hint="eastAsia"/>
        </w:rPr>
        <w:t>初步设计（设计说明、概算书、图册和附件）；</w:t>
      </w:r>
    </w:p>
    <w:p>
      <w:pPr>
        <w:pStyle w:val="18"/>
        <w:numPr>
          <w:ilvl w:val="0"/>
          <w:numId w:val="8"/>
        </w:numPr>
        <w:rPr>
          <w:rFonts w:hint="eastAsia"/>
        </w:rPr>
      </w:pPr>
      <w:r>
        <w:rPr>
          <w:rFonts w:hint="eastAsia"/>
        </w:rPr>
        <w:t>调整概算书（汇总本、附件目录册）；</w:t>
      </w:r>
    </w:p>
    <w:p>
      <w:pPr>
        <w:pStyle w:val="18"/>
        <w:numPr>
          <w:ilvl w:val="0"/>
          <w:numId w:val="8"/>
        </w:numPr>
        <w:rPr>
          <w:rFonts w:hint="eastAsia"/>
        </w:rPr>
      </w:pPr>
      <w:r>
        <w:t>相关项目批复及合规性文件等</w:t>
      </w:r>
      <w:r>
        <w:rPr>
          <w:rFonts w:hint="eastAsia"/>
        </w:rPr>
        <w:t>。</w:t>
      </w:r>
    </w:p>
    <w:p>
      <w:pPr>
        <w:pStyle w:val="16"/>
        <w:rPr>
          <w:rFonts w:hint="eastAsia"/>
        </w:rPr>
      </w:pPr>
      <w:r>
        <w:rPr>
          <w:rFonts w:hint="eastAsia"/>
        </w:rPr>
        <w:t>因故不能承担委托任务的，咨询评估机构应在规定时限内向政府投资管理部门提出书面说明。</w:t>
      </w:r>
    </w:p>
    <w:p>
      <w:pPr>
        <w:pStyle w:val="15"/>
        <w:rPr>
          <w:rFonts w:hint="eastAsia"/>
        </w:rPr>
      </w:pPr>
      <w:r>
        <w:rPr>
          <w:rFonts w:hint="eastAsia"/>
        </w:rPr>
        <w:t>组建评估组</w:t>
      </w:r>
    </w:p>
    <w:p>
      <w:pPr>
        <w:pStyle w:val="16"/>
        <w:rPr>
          <w:rFonts w:hint="eastAsia"/>
        </w:rPr>
      </w:pPr>
      <w:r>
        <w:rPr>
          <w:rFonts w:hint="eastAsia"/>
        </w:rPr>
        <w:t>咨询评估机构应根据政府投资项目的评估方式、评估内容和专业领域等要素，组建相匹配的评估组，明确评估组成员构成与任务分工，并在咨询评估过程中保持评估组成员稳定。</w:t>
      </w:r>
    </w:p>
    <w:p>
      <w:pPr>
        <w:pStyle w:val="16"/>
        <w:rPr>
          <w:rFonts w:hint="eastAsia"/>
        </w:rPr>
      </w:pPr>
      <w:r>
        <w:rPr>
          <w:rFonts w:hint="eastAsia"/>
        </w:rPr>
        <w:t>评估组成员一般由评估管理人员与评估专家组成，评估专家的人选与数量应满足评估工作的专业需求。</w:t>
      </w:r>
    </w:p>
    <w:p>
      <w:pPr>
        <w:pStyle w:val="15"/>
      </w:pPr>
      <w:r>
        <w:t>预</w:t>
      </w:r>
      <w:r>
        <w:rPr>
          <w:rFonts w:hint="eastAsia"/>
        </w:rPr>
        <w:t>评估</w:t>
      </w:r>
    </w:p>
    <w:p>
      <w:pPr>
        <w:pStyle w:val="16"/>
      </w:pPr>
      <w:r>
        <w:rPr>
          <w:rStyle w:val="10"/>
          <w:rFonts w:hint="eastAsia" w:ascii="Times New Roman"/>
          <w:kern w:val="2"/>
        </w:rPr>
        <w:t>评估组</w:t>
      </w:r>
      <w:r>
        <w:t>可</w:t>
      </w:r>
      <w:r>
        <w:rPr>
          <w:rFonts w:hint="eastAsia"/>
        </w:rPr>
        <w:t>依据预评估要点（见附录B）</w:t>
      </w:r>
      <w:r>
        <w:t>对项目</w:t>
      </w:r>
      <w:r>
        <w:rPr>
          <w:rFonts w:hint="eastAsia"/>
        </w:rPr>
        <w:t>技术文本进行预评估。</w:t>
      </w:r>
    </w:p>
    <w:p>
      <w:pPr>
        <w:pStyle w:val="16"/>
        <w:rPr>
          <w:rFonts w:hint="eastAsia"/>
        </w:rPr>
      </w:pPr>
      <w:r>
        <w:rPr>
          <w:rFonts w:hint="eastAsia"/>
        </w:rPr>
        <w:t>预评估应形成预评估意见，并作如下处置：</w:t>
      </w:r>
    </w:p>
    <w:p>
      <w:pPr>
        <w:pStyle w:val="18"/>
        <w:numPr>
          <w:ilvl w:val="0"/>
          <w:numId w:val="9"/>
        </w:numPr>
      </w:pPr>
      <w:r>
        <w:rPr>
          <w:rFonts w:hint="eastAsia"/>
        </w:rPr>
        <w:t>符合要求的：</w:t>
      </w:r>
      <w:r>
        <w:rPr>
          <w:rStyle w:val="10"/>
          <w:rFonts w:hint="eastAsia" w:ascii="Times New Roman"/>
          <w:kern w:val="2"/>
        </w:rPr>
        <w:t>咨询评估机构</w:t>
      </w:r>
      <w:r>
        <w:rPr>
          <w:rFonts w:hint="eastAsia"/>
        </w:rPr>
        <w:t>应按委托要求组织实施咨询评估；</w:t>
      </w:r>
    </w:p>
    <w:p>
      <w:pPr>
        <w:pStyle w:val="18"/>
        <w:numPr>
          <w:ilvl w:val="0"/>
          <w:numId w:val="9"/>
        </w:numPr>
        <w:rPr>
          <w:rFonts w:hint="eastAsia"/>
        </w:rPr>
      </w:pPr>
      <w:r>
        <w:rPr>
          <w:rFonts w:hint="eastAsia"/>
        </w:rPr>
        <w:t>不符合要求的：应告知政府投资管理部门，并根据政府投资管理部门意见，送达书面整改意见至项目单位或终止咨询评估。</w:t>
      </w:r>
    </w:p>
    <w:p>
      <w:pPr>
        <w:pStyle w:val="15"/>
        <w:rPr>
          <w:rFonts w:hint="eastAsia"/>
        </w:rPr>
      </w:pPr>
      <w:r>
        <w:rPr>
          <w:rFonts w:hint="eastAsia"/>
        </w:rPr>
        <w:t>制定方案</w:t>
      </w:r>
    </w:p>
    <w:p>
      <w:pPr>
        <w:pStyle w:val="11"/>
        <w:rPr>
          <w:rFonts w:hint="eastAsia"/>
        </w:rPr>
      </w:pPr>
      <w:r>
        <w:rPr>
          <w:rFonts w:hint="eastAsia"/>
        </w:rPr>
        <w:t>评估组</w:t>
      </w:r>
      <w:r>
        <w:t>应</w:t>
      </w:r>
      <w:r>
        <w:rPr>
          <w:rFonts w:hint="eastAsia"/>
        </w:rPr>
        <w:t>与政府投资管理部门沟通协调，</w:t>
      </w:r>
      <w:r>
        <w:t>制定工作方案，明确评</w:t>
      </w:r>
      <w:r>
        <w:rPr>
          <w:rFonts w:hint="eastAsia"/>
        </w:rPr>
        <w:t>估</w:t>
      </w:r>
      <w:r>
        <w:t>方式、时间安排等</w:t>
      </w:r>
      <w:r>
        <w:rPr>
          <w:rFonts w:hint="eastAsia"/>
        </w:rPr>
        <w:t>。</w:t>
      </w:r>
    </w:p>
    <w:p>
      <w:pPr>
        <w:pStyle w:val="15"/>
        <w:rPr>
          <w:rFonts w:hint="eastAsia"/>
        </w:rPr>
      </w:pPr>
      <w:r>
        <w:rPr>
          <w:rFonts w:hint="eastAsia"/>
        </w:rPr>
        <w:t>评估实施</w:t>
      </w:r>
    </w:p>
    <w:p>
      <w:pPr>
        <w:pStyle w:val="17"/>
        <w:spacing w:before="156" w:after="156"/>
        <w:rPr>
          <w:rFonts w:hint="eastAsia"/>
        </w:rPr>
      </w:pPr>
      <w:r>
        <w:rPr>
          <w:rFonts w:hint="eastAsia"/>
        </w:rPr>
        <w:t>现场踏勘</w:t>
      </w:r>
    </w:p>
    <w:p>
      <w:pPr>
        <w:pStyle w:val="16"/>
        <w:numPr>
          <w:ilvl w:val="3"/>
          <w:numId w:val="1"/>
        </w:numPr>
        <w:rPr>
          <w:rFonts w:hint="eastAsia"/>
        </w:rPr>
      </w:pPr>
      <w:r>
        <w:rPr>
          <w:rFonts w:hint="eastAsia"/>
        </w:rPr>
        <w:t>评估组可根据咨询评估项目实际情况适时开展现场踏勘。</w:t>
      </w:r>
    </w:p>
    <w:p>
      <w:pPr>
        <w:pStyle w:val="16"/>
        <w:numPr>
          <w:ilvl w:val="3"/>
          <w:numId w:val="1"/>
        </w:numPr>
        <w:rPr>
          <w:rFonts w:hint="eastAsia"/>
        </w:rPr>
      </w:pPr>
      <w:r>
        <w:rPr>
          <w:rFonts w:hint="eastAsia"/>
        </w:rPr>
        <w:t>评估组、项目单位、咨询（设计）单位等相关人员应参与现场踏勘。</w:t>
      </w:r>
    </w:p>
    <w:p>
      <w:pPr>
        <w:pStyle w:val="16"/>
        <w:numPr>
          <w:ilvl w:val="3"/>
          <w:numId w:val="1"/>
        </w:numPr>
        <w:rPr>
          <w:rFonts w:hint="eastAsia"/>
        </w:rPr>
      </w:pPr>
      <w:r>
        <w:rPr>
          <w:rFonts w:hint="eastAsia"/>
        </w:rPr>
        <w:t>现场踏勘主要包括以下内容：</w:t>
      </w:r>
    </w:p>
    <w:p>
      <w:pPr>
        <w:pStyle w:val="18"/>
        <w:numPr>
          <w:ilvl w:val="0"/>
          <w:numId w:val="10"/>
        </w:numPr>
        <w:rPr>
          <w:rFonts w:hint="eastAsia"/>
        </w:rPr>
      </w:pPr>
      <w:r>
        <w:rPr>
          <w:rFonts w:hint="eastAsia"/>
        </w:rPr>
        <w:t>项目现场的地形地貌等自然条件；</w:t>
      </w:r>
    </w:p>
    <w:p>
      <w:pPr>
        <w:pStyle w:val="18"/>
        <w:rPr>
          <w:rFonts w:hint="eastAsia"/>
        </w:rPr>
      </w:pPr>
      <w:r>
        <w:rPr>
          <w:rFonts w:hint="eastAsia"/>
        </w:rPr>
        <w:t>交通、供排水、供电、供气、供暖、通讯等市政基础设施条件；</w:t>
      </w:r>
    </w:p>
    <w:p>
      <w:pPr>
        <w:pStyle w:val="18"/>
        <w:rPr>
          <w:rFonts w:hint="eastAsia"/>
        </w:rPr>
      </w:pPr>
      <w:r>
        <w:rPr>
          <w:rFonts w:hint="eastAsia"/>
        </w:rPr>
        <w:t>其他情况。</w:t>
      </w:r>
    </w:p>
    <w:p>
      <w:pPr>
        <w:pStyle w:val="16"/>
        <w:numPr>
          <w:ilvl w:val="3"/>
          <w:numId w:val="1"/>
        </w:numPr>
        <w:rPr>
          <w:rFonts w:hint="eastAsia"/>
        </w:rPr>
      </w:pPr>
      <w:r>
        <w:rPr>
          <w:rFonts w:hint="eastAsia"/>
        </w:rPr>
        <w:t>现场踏勘应形成踏勘记录，踏勘记录包括：</w:t>
      </w:r>
    </w:p>
    <w:p>
      <w:pPr>
        <w:pStyle w:val="18"/>
        <w:numPr>
          <w:ilvl w:val="0"/>
          <w:numId w:val="11"/>
        </w:numPr>
        <w:rPr>
          <w:rFonts w:hint="eastAsia"/>
        </w:rPr>
      </w:pPr>
      <w:r>
        <w:rPr>
          <w:rFonts w:hint="eastAsia"/>
        </w:rPr>
        <w:t>时间、地点、人员；</w:t>
      </w:r>
    </w:p>
    <w:p>
      <w:pPr>
        <w:pStyle w:val="18"/>
        <w:rPr>
          <w:rFonts w:hint="eastAsia"/>
        </w:rPr>
      </w:pPr>
      <w:r>
        <w:rPr>
          <w:rFonts w:hint="eastAsia"/>
        </w:rPr>
        <w:t>现场情况及存在问题等。</w:t>
      </w:r>
    </w:p>
    <w:p>
      <w:pPr>
        <w:pStyle w:val="17"/>
        <w:spacing w:before="156" w:after="156"/>
        <w:rPr>
          <w:rFonts w:hint="eastAsia"/>
        </w:rPr>
      </w:pPr>
      <w:r>
        <w:rPr>
          <w:rFonts w:hint="eastAsia"/>
        </w:rPr>
        <w:t>会议评估</w:t>
      </w:r>
    </w:p>
    <w:p>
      <w:pPr>
        <w:pStyle w:val="16"/>
        <w:numPr>
          <w:ilvl w:val="3"/>
          <w:numId w:val="1"/>
        </w:numPr>
        <w:rPr>
          <w:rFonts w:hint="eastAsia"/>
        </w:rPr>
      </w:pPr>
      <w:r>
        <w:t>根据评</w:t>
      </w:r>
      <w:r>
        <w:rPr>
          <w:rFonts w:hint="eastAsia"/>
        </w:rPr>
        <w:t>估</w:t>
      </w:r>
      <w:r>
        <w:t>工作方案安排，评估管理人员应起草《会议通知》，</w:t>
      </w:r>
      <w:r>
        <w:rPr>
          <w:rFonts w:hint="eastAsia"/>
        </w:rPr>
        <w:t>并送达政府</w:t>
      </w:r>
      <w:r>
        <w:t>投资</w:t>
      </w:r>
      <w:r>
        <w:rPr>
          <w:rFonts w:hint="eastAsia"/>
        </w:rPr>
        <w:t>管理</w:t>
      </w:r>
      <w:r>
        <w:t>部门、项目单位、咨询（设计）</w:t>
      </w:r>
      <w:r>
        <w:rPr>
          <w:rFonts w:hint="eastAsia"/>
        </w:rPr>
        <w:t>等</w:t>
      </w:r>
      <w:r>
        <w:t>单位、评估专家和与会代表等</w:t>
      </w:r>
      <w:r>
        <w:rPr>
          <w:rFonts w:hint="eastAsia"/>
        </w:rPr>
        <w:t>。</w:t>
      </w:r>
    </w:p>
    <w:p>
      <w:pPr>
        <w:pStyle w:val="16"/>
        <w:numPr>
          <w:ilvl w:val="3"/>
          <w:numId w:val="1"/>
        </w:numPr>
        <w:rPr>
          <w:rFonts w:hint="eastAsia"/>
        </w:rPr>
      </w:pPr>
      <w:r>
        <w:rPr>
          <w:rFonts w:hint="eastAsia"/>
        </w:rPr>
        <w:t>评估会议召开前，评估管理人员应将项目技术文本送达评估专家。</w:t>
      </w:r>
    </w:p>
    <w:p>
      <w:pPr>
        <w:pStyle w:val="16"/>
        <w:numPr>
          <w:ilvl w:val="3"/>
          <w:numId w:val="1"/>
        </w:numPr>
        <w:rPr>
          <w:rFonts w:hint="eastAsia"/>
        </w:rPr>
      </w:pPr>
      <w:r>
        <w:rPr>
          <w:rFonts w:hint="eastAsia"/>
        </w:rPr>
        <w:t>评估专家应依据评估要点（见附录C）对项目技术文本进行审阅，结合现场踏勘情况</w:t>
      </w:r>
      <w:r>
        <w:t>填写</w:t>
      </w:r>
      <w:r>
        <w:rPr>
          <w:rFonts w:hint="eastAsia"/>
        </w:rPr>
        <w:t>《专家评估意见表》（参见附录E.1）。</w:t>
      </w:r>
    </w:p>
    <w:p>
      <w:pPr>
        <w:pStyle w:val="16"/>
        <w:numPr>
          <w:ilvl w:val="3"/>
          <w:numId w:val="1"/>
        </w:numPr>
        <w:rPr>
          <w:rFonts w:hint="eastAsia"/>
        </w:rPr>
      </w:pPr>
      <w:r>
        <w:rPr>
          <w:rFonts w:hint="eastAsia"/>
        </w:rPr>
        <w:t>评估组应按照《会议通知》相关内容，</w:t>
      </w:r>
      <w:r>
        <w:t>组织</w:t>
      </w:r>
      <w:r>
        <w:rPr>
          <w:rFonts w:hint="eastAsia"/>
        </w:rPr>
        <w:t>并</w:t>
      </w:r>
      <w:r>
        <w:t>召开评</w:t>
      </w:r>
      <w:r>
        <w:rPr>
          <w:rFonts w:hint="eastAsia"/>
        </w:rPr>
        <w:t>估</w:t>
      </w:r>
      <w:r>
        <w:t>会议。</w:t>
      </w:r>
    </w:p>
    <w:p>
      <w:pPr>
        <w:pStyle w:val="16"/>
        <w:numPr>
          <w:ilvl w:val="3"/>
          <w:numId w:val="1"/>
        </w:numPr>
      </w:pPr>
      <w:r>
        <w:t>到会人员应填写《项目评</w:t>
      </w:r>
      <w:r>
        <w:rPr>
          <w:rFonts w:hint="eastAsia"/>
        </w:rPr>
        <w:t>估</w:t>
      </w:r>
      <w:r>
        <w:t>会签到册》（见附录</w:t>
      </w:r>
      <w:r>
        <w:rPr>
          <w:rFonts w:hint="eastAsia"/>
        </w:rPr>
        <w:t>D</w:t>
      </w:r>
      <w:r>
        <w:t>）。</w:t>
      </w:r>
    </w:p>
    <w:p>
      <w:pPr>
        <w:pStyle w:val="16"/>
        <w:numPr>
          <w:ilvl w:val="3"/>
          <w:numId w:val="1"/>
        </w:numPr>
      </w:pPr>
      <w:r>
        <w:rPr>
          <w:rFonts w:hint="eastAsia"/>
        </w:rPr>
        <w:t>评估会议议程宜包括以下主要内容：</w:t>
      </w:r>
    </w:p>
    <w:p>
      <w:pPr>
        <w:numPr>
          <w:ilvl w:val="0"/>
          <w:numId w:val="12"/>
        </w:numPr>
        <w:tabs>
          <w:tab w:val="clear" w:pos="840"/>
        </w:tabs>
        <w:rPr>
          <w:rFonts w:ascii="宋体"/>
        </w:rPr>
      </w:pPr>
      <w:r>
        <w:rPr>
          <w:rFonts w:ascii="宋体"/>
        </w:rPr>
        <w:t>项目单位</w:t>
      </w:r>
      <w:r>
        <w:rPr>
          <w:rFonts w:hint="eastAsia" w:ascii="宋体"/>
        </w:rPr>
        <w:t>介绍</w:t>
      </w:r>
      <w:r>
        <w:rPr>
          <w:rFonts w:ascii="宋体"/>
        </w:rPr>
        <w:t>项目单位基本情况、项目建设背景、前期进展及批复</w:t>
      </w:r>
      <w:r>
        <w:rPr>
          <w:rFonts w:hint="eastAsia" w:ascii="宋体"/>
        </w:rPr>
        <w:t>执行</w:t>
      </w:r>
      <w:r>
        <w:rPr>
          <w:rFonts w:ascii="宋体"/>
        </w:rPr>
        <w:t>情况、项目重点难点问题等内容；</w:t>
      </w:r>
    </w:p>
    <w:p>
      <w:pPr>
        <w:numPr>
          <w:ilvl w:val="0"/>
          <w:numId w:val="12"/>
        </w:numPr>
        <w:tabs>
          <w:tab w:val="clear" w:pos="840"/>
        </w:tabs>
        <w:rPr>
          <w:rFonts w:ascii="宋体"/>
        </w:rPr>
      </w:pPr>
      <w:r>
        <w:rPr>
          <w:rFonts w:hint="eastAsia" w:ascii="宋体"/>
        </w:rPr>
        <w:t>咨询（设计）</w:t>
      </w:r>
      <w:r>
        <w:rPr>
          <w:rFonts w:ascii="宋体"/>
        </w:rPr>
        <w:t>单位汇报</w:t>
      </w:r>
      <w:r>
        <w:rPr>
          <w:rFonts w:hint="eastAsia" w:ascii="宋体"/>
        </w:rPr>
        <w:t>项目</w:t>
      </w:r>
      <w:r>
        <w:rPr>
          <w:rFonts w:ascii="宋体"/>
        </w:rPr>
        <w:t>技术文本主要内容</w:t>
      </w:r>
      <w:r>
        <w:rPr>
          <w:rFonts w:hint="eastAsia" w:ascii="宋体"/>
        </w:rPr>
        <w:t>；</w:t>
      </w:r>
    </w:p>
    <w:p>
      <w:pPr>
        <w:numPr>
          <w:ilvl w:val="0"/>
          <w:numId w:val="12"/>
        </w:numPr>
        <w:tabs>
          <w:tab w:val="clear" w:pos="840"/>
        </w:tabs>
        <w:rPr>
          <w:rFonts w:ascii="宋体"/>
        </w:rPr>
      </w:pPr>
      <w:r>
        <w:rPr>
          <w:rFonts w:hint="eastAsia" w:ascii="宋体"/>
        </w:rPr>
        <w:t>评估</w:t>
      </w:r>
      <w:r>
        <w:rPr>
          <w:rFonts w:ascii="宋体"/>
        </w:rPr>
        <w:t>专家</w:t>
      </w:r>
      <w:r>
        <w:rPr>
          <w:rFonts w:hint="eastAsia" w:ascii="宋体"/>
        </w:rPr>
        <w:t>进行</w:t>
      </w:r>
      <w:r>
        <w:rPr>
          <w:rFonts w:ascii="宋体"/>
        </w:rPr>
        <w:t>质询，</w:t>
      </w:r>
      <w:r>
        <w:rPr>
          <w:rFonts w:hint="eastAsia" w:ascii="宋体"/>
        </w:rPr>
        <w:t>咨询（设计）</w:t>
      </w:r>
      <w:r>
        <w:rPr>
          <w:rFonts w:ascii="宋体"/>
        </w:rPr>
        <w:t>单位进行解释说明，重大或复杂项目宜按专业分组讨论；</w:t>
      </w:r>
    </w:p>
    <w:p>
      <w:pPr>
        <w:numPr>
          <w:ilvl w:val="0"/>
          <w:numId w:val="12"/>
        </w:numPr>
        <w:tabs>
          <w:tab w:val="clear" w:pos="840"/>
        </w:tabs>
        <w:rPr>
          <w:rFonts w:ascii="宋体"/>
        </w:rPr>
      </w:pPr>
      <w:r>
        <w:rPr>
          <w:rFonts w:ascii="宋体"/>
        </w:rPr>
        <w:t>评估组研讨后形成</w:t>
      </w:r>
      <w:r>
        <w:rPr>
          <w:rFonts w:hint="eastAsia" w:ascii="宋体"/>
        </w:rPr>
        <w:t>《评估意见》（参见附录E.2）。</w:t>
      </w:r>
    </w:p>
    <w:p>
      <w:pPr>
        <w:pStyle w:val="17"/>
        <w:spacing w:before="156" w:after="156"/>
        <w:rPr>
          <w:rFonts w:hint="eastAsia"/>
        </w:rPr>
      </w:pPr>
      <w:r>
        <w:rPr>
          <w:rFonts w:hint="eastAsia"/>
        </w:rPr>
        <w:t>函件评估</w:t>
      </w:r>
    </w:p>
    <w:p>
      <w:pPr>
        <w:pStyle w:val="16"/>
        <w:numPr>
          <w:ilvl w:val="3"/>
          <w:numId w:val="1"/>
        </w:numPr>
        <w:rPr>
          <w:rFonts w:hint="eastAsia"/>
        </w:rPr>
      </w:pPr>
      <w:r>
        <w:rPr>
          <w:rFonts w:hint="eastAsia"/>
        </w:rPr>
        <w:t>专业类型单一、技术简单、投资额较小的政府投资项目，可采取函件评估。</w:t>
      </w:r>
    </w:p>
    <w:p>
      <w:pPr>
        <w:pStyle w:val="16"/>
        <w:numPr>
          <w:ilvl w:val="3"/>
          <w:numId w:val="1"/>
        </w:numPr>
        <w:rPr>
          <w:rFonts w:hint="eastAsia"/>
        </w:rPr>
      </w:pPr>
      <w:r>
        <w:rPr>
          <w:rFonts w:hint="eastAsia"/>
        </w:rPr>
        <w:t>评估管理人员应将项目技术文本送达评估专家。</w:t>
      </w:r>
    </w:p>
    <w:p>
      <w:pPr>
        <w:pStyle w:val="16"/>
        <w:numPr>
          <w:ilvl w:val="3"/>
          <w:numId w:val="1"/>
        </w:numPr>
        <w:rPr>
          <w:rFonts w:hint="eastAsia"/>
        </w:rPr>
      </w:pPr>
      <w:r>
        <w:rPr>
          <w:rFonts w:hint="eastAsia"/>
        </w:rPr>
        <w:t>评估专家应对项目技术文本进行审阅，并</w:t>
      </w:r>
      <w:r>
        <w:t>填写</w:t>
      </w:r>
      <w:r>
        <w:rPr>
          <w:rFonts w:hint="eastAsia"/>
        </w:rPr>
        <w:t>《评估专家意见表》。</w:t>
      </w:r>
    </w:p>
    <w:p>
      <w:pPr>
        <w:pStyle w:val="16"/>
        <w:numPr>
          <w:ilvl w:val="3"/>
          <w:numId w:val="1"/>
        </w:numPr>
        <w:rPr>
          <w:rFonts w:hint="eastAsia"/>
        </w:rPr>
      </w:pPr>
      <w:r>
        <w:t>评估管理人员应对专家意见进行汇总，形成《</w:t>
      </w:r>
      <w:r>
        <w:rPr>
          <w:rFonts w:hint="eastAsia"/>
        </w:rPr>
        <w:t>评估意见</w:t>
      </w:r>
      <w:r>
        <w:t>》</w:t>
      </w:r>
      <w:r>
        <w:rPr>
          <w:rFonts w:hint="eastAsia"/>
        </w:rPr>
        <w:t>。</w:t>
      </w:r>
    </w:p>
    <w:p>
      <w:pPr>
        <w:pStyle w:val="15"/>
        <w:rPr>
          <w:rFonts w:hint="eastAsia"/>
        </w:rPr>
      </w:pPr>
      <w:r>
        <w:rPr>
          <w:rFonts w:hint="eastAsia"/>
        </w:rPr>
        <w:t>评估意见</w:t>
      </w:r>
    </w:p>
    <w:p>
      <w:pPr>
        <w:pStyle w:val="16"/>
        <w:rPr>
          <w:rFonts w:hint="eastAsia"/>
        </w:rPr>
      </w:pPr>
      <w:r>
        <w:rPr>
          <w:rFonts w:hint="eastAsia"/>
        </w:rPr>
        <w:t>《评估意见》应包含以下内容，并明确修改期限。</w:t>
      </w:r>
    </w:p>
    <w:p>
      <w:pPr>
        <w:pStyle w:val="18"/>
        <w:numPr>
          <w:ilvl w:val="0"/>
          <w:numId w:val="13"/>
        </w:numPr>
        <w:rPr>
          <w:rFonts w:hint="eastAsia"/>
        </w:rPr>
      </w:pPr>
      <w:r>
        <w:rPr>
          <w:rFonts w:hint="eastAsia"/>
        </w:rPr>
        <w:t>评估简介；</w:t>
      </w:r>
    </w:p>
    <w:p>
      <w:pPr>
        <w:pStyle w:val="18"/>
        <w:numPr>
          <w:ilvl w:val="0"/>
          <w:numId w:val="13"/>
        </w:numPr>
        <w:rPr>
          <w:rFonts w:hint="eastAsia"/>
        </w:rPr>
      </w:pPr>
      <w:r>
        <w:rPr>
          <w:rFonts w:hint="eastAsia"/>
        </w:rPr>
        <w:t>评估结论；</w:t>
      </w:r>
    </w:p>
    <w:p>
      <w:pPr>
        <w:pStyle w:val="18"/>
        <w:numPr>
          <w:ilvl w:val="0"/>
          <w:numId w:val="13"/>
        </w:numPr>
        <w:rPr>
          <w:rFonts w:hint="eastAsia"/>
        </w:rPr>
      </w:pPr>
      <w:r>
        <w:rPr>
          <w:rFonts w:hint="eastAsia"/>
        </w:rPr>
        <w:t>修改意见。</w:t>
      </w:r>
    </w:p>
    <w:p>
      <w:pPr>
        <w:pStyle w:val="16"/>
        <w:rPr>
          <w:rFonts w:hint="eastAsia"/>
        </w:rPr>
      </w:pPr>
      <w:r>
        <w:rPr>
          <w:rFonts w:hint="eastAsia"/>
        </w:rPr>
        <w:t>评估组应向项目单位反馈《评估意见》和《评估专家意见表》。</w:t>
      </w:r>
    </w:p>
    <w:p>
      <w:pPr>
        <w:pStyle w:val="16"/>
        <w:rPr>
          <w:rFonts w:hint="eastAsia"/>
        </w:rPr>
      </w:pPr>
      <w:r>
        <w:rPr>
          <w:rFonts w:hint="eastAsia"/>
        </w:rPr>
        <w:t>项目单位应对照《评估意见》和《评估专家意见表》给出的意见和建议逐项对项目技术文本进行处理；并编写</w:t>
      </w:r>
      <w:r>
        <w:t>修改说明（</w:t>
      </w:r>
      <w:r>
        <w:rPr>
          <w:rFonts w:hint="eastAsia"/>
        </w:rPr>
        <w:t>参</w:t>
      </w:r>
      <w:r>
        <w:t>见附录</w:t>
      </w:r>
      <w:r>
        <w:rPr>
          <w:rFonts w:hint="eastAsia"/>
        </w:rPr>
        <w:t>E</w:t>
      </w:r>
      <w:r>
        <w:t>.3），</w:t>
      </w:r>
      <w:r>
        <w:rPr>
          <w:rFonts w:hint="eastAsia"/>
        </w:rPr>
        <w:t>说明</w:t>
      </w:r>
      <w:r>
        <w:t>采纳</w:t>
      </w:r>
      <w:r>
        <w:rPr>
          <w:rFonts w:hint="eastAsia"/>
        </w:rPr>
        <w:t>及</w:t>
      </w:r>
      <w:r>
        <w:t>修改</w:t>
      </w:r>
      <w:r>
        <w:rPr>
          <w:rFonts w:hint="eastAsia"/>
        </w:rPr>
        <w:t>情况，未采纳的应说明理由</w:t>
      </w:r>
      <w:r>
        <w:t>。</w:t>
      </w:r>
    </w:p>
    <w:p>
      <w:pPr>
        <w:pStyle w:val="16"/>
        <w:rPr>
          <w:rFonts w:hint="eastAsia"/>
        </w:rPr>
      </w:pPr>
      <w:r>
        <w:rPr>
          <w:rFonts w:hint="eastAsia"/>
        </w:rPr>
        <w:t>项目单位应在修改期限内将项目技术文本（修改稿）、修改说明（参见附录E.3）提交评估组，供评估专家复核。</w:t>
      </w:r>
    </w:p>
    <w:p>
      <w:pPr>
        <w:pStyle w:val="15"/>
        <w:rPr>
          <w:rFonts w:hint="eastAsia"/>
        </w:rPr>
      </w:pPr>
      <w:r>
        <w:rPr>
          <w:rFonts w:hint="eastAsia"/>
        </w:rPr>
        <w:t>复核</w:t>
      </w:r>
    </w:p>
    <w:p>
      <w:pPr>
        <w:pStyle w:val="16"/>
      </w:pPr>
      <w:r>
        <w:rPr>
          <w:rFonts w:hint="eastAsia"/>
        </w:rPr>
        <w:t>评估专家</w:t>
      </w:r>
      <w:r>
        <w:t>收</w:t>
      </w:r>
      <w:r>
        <w:rPr>
          <w:rFonts w:hint="eastAsia"/>
        </w:rPr>
        <w:t>到项目技术文本（修改稿）、《修改说明》后，应在时限内</w:t>
      </w:r>
      <w:r>
        <w:t>完成</w:t>
      </w:r>
      <w:r>
        <w:rPr>
          <w:rFonts w:hint="eastAsia"/>
        </w:rPr>
        <w:t>复核</w:t>
      </w:r>
      <w:r>
        <w:t>，</w:t>
      </w:r>
      <w:r>
        <w:rPr>
          <w:rFonts w:hint="eastAsia"/>
        </w:rPr>
        <w:t>并形成复核意见(参见附件E.4)。</w:t>
      </w:r>
    </w:p>
    <w:p>
      <w:pPr>
        <w:pStyle w:val="16"/>
      </w:pPr>
      <w:r>
        <w:rPr>
          <w:rFonts w:hint="eastAsia"/>
        </w:rPr>
        <w:t>评估组应根据项目技术文本修改情况和</w:t>
      </w:r>
      <w:r>
        <w:t>复</w:t>
      </w:r>
      <w:r>
        <w:rPr>
          <w:rFonts w:hint="eastAsia"/>
        </w:rPr>
        <w:t>核</w:t>
      </w:r>
      <w:r>
        <w:t>意见</w:t>
      </w:r>
      <w:r>
        <w:rPr>
          <w:rFonts w:hint="eastAsia"/>
        </w:rPr>
        <w:t>作如下处置：</w:t>
      </w:r>
    </w:p>
    <w:p>
      <w:pPr>
        <w:pStyle w:val="18"/>
        <w:numPr>
          <w:ilvl w:val="0"/>
          <w:numId w:val="14"/>
        </w:numPr>
        <w:rPr>
          <w:rFonts w:hint="eastAsia"/>
        </w:rPr>
      </w:pPr>
      <w:r>
        <w:rPr>
          <w:rFonts w:hint="eastAsia"/>
        </w:rPr>
        <w:t>通过评估：项目技术文本修改充分，且符合相关法律、法规、标准和规范要求的</w:t>
      </w:r>
      <w:r>
        <w:t>；</w:t>
      </w:r>
    </w:p>
    <w:p>
      <w:pPr>
        <w:pStyle w:val="18"/>
        <w:numPr>
          <w:ilvl w:val="0"/>
          <w:numId w:val="14"/>
        </w:numPr>
      </w:pPr>
      <w:r>
        <w:t>继续修改：</w:t>
      </w:r>
      <w:r>
        <w:rPr>
          <w:rFonts w:hint="eastAsia"/>
        </w:rPr>
        <w:t>项目技术文本修改不充分，无法通过复核的，应要求项目单位对项目技术文本继续整改；</w:t>
      </w:r>
    </w:p>
    <w:p>
      <w:pPr>
        <w:pStyle w:val="18"/>
        <w:numPr>
          <w:ilvl w:val="0"/>
          <w:numId w:val="14"/>
        </w:numPr>
      </w:pPr>
      <w:r>
        <w:rPr>
          <w:rFonts w:hint="eastAsia"/>
        </w:rPr>
        <w:t>不通过评估：项目技术文本修改后仍然无法满足相关法律、法规、规范或</w:t>
      </w:r>
      <w:r>
        <w:t>强制性标准技术</w:t>
      </w:r>
      <w:r>
        <w:rPr>
          <w:rFonts w:hint="eastAsia"/>
        </w:rPr>
        <w:t>要求的，或专家意见争议较大等情况的。</w:t>
      </w:r>
    </w:p>
    <w:p>
      <w:pPr>
        <w:pStyle w:val="15"/>
      </w:pPr>
      <w:r>
        <w:rPr>
          <w:rFonts w:hint="eastAsia"/>
        </w:rPr>
        <w:t>编制评估报告</w:t>
      </w:r>
    </w:p>
    <w:p>
      <w:pPr>
        <w:pStyle w:val="16"/>
        <w:rPr>
          <w:rFonts w:hint="eastAsia"/>
        </w:rPr>
      </w:pPr>
      <w:r>
        <w:rPr>
          <w:rFonts w:hint="eastAsia"/>
        </w:rPr>
        <w:t>复核后，</w:t>
      </w:r>
      <w:r>
        <w:t>评估组</w:t>
      </w:r>
      <w:r>
        <w:rPr>
          <w:rFonts w:hint="eastAsia"/>
        </w:rPr>
        <w:t>应根据项目技术文件（修改终稿）和复核意见，起草《评</w:t>
      </w:r>
      <w:r>
        <w:t>估</w:t>
      </w:r>
      <w:r>
        <w:rPr>
          <w:rFonts w:hint="eastAsia"/>
        </w:rPr>
        <w:t>报告》(参见附录F)。</w:t>
      </w:r>
    </w:p>
    <w:p>
      <w:pPr>
        <w:pStyle w:val="16"/>
        <w:rPr>
          <w:rFonts w:hint="eastAsia"/>
        </w:rPr>
      </w:pPr>
      <w:r>
        <w:rPr>
          <w:rFonts w:hint="eastAsia"/>
        </w:rPr>
        <w:t>《评估报告》包括但不限于以下内容：</w:t>
      </w:r>
    </w:p>
    <w:p>
      <w:pPr>
        <w:pStyle w:val="18"/>
        <w:numPr>
          <w:ilvl w:val="0"/>
          <w:numId w:val="15"/>
        </w:numPr>
        <w:rPr>
          <w:rFonts w:hint="eastAsia"/>
        </w:rPr>
      </w:pPr>
      <w:r>
        <w:rPr>
          <w:rFonts w:hint="eastAsia"/>
        </w:rPr>
        <w:t>正文；</w:t>
      </w:r>
    </w:p>
    <w:p>
      <w:pPr>
        <w:pStyle w:val="18"/>
        <w:numPr>
          <w:ilvl w:val="0"/>
          <w:numId w:val="15"/>
        </w:numPr>
        <w:rPr>
          <w:rFonts w:hint="eastAsia"/>
        </w:rPr>
      </w:pPr>
      <w:r>
        <w:rPr>
          <w:rFonts w:hint="eastAsia"/>
        </w:rPr>
        <w:t>附件；</w:t>
      </w:r>
    </w:p>
    <w:p>
      <w:pPr>
        <w:pStyle w:val="19"/>
        <w:numPr>
          <w:ilvl w:val="1"/>
          <w:numId w:val="13"/>
        </w:numPr>
        <w:rPr>
          <w:rFonts w:hint="eastAsia"/>
        </w:rPr>
      </w:pPr>
      <w:r>
        <w:rPr>
          <w:rFonts w:hint="eastAsia"/>
        </w:rPr>
        <w:t>咨询评估委托书；</w:t>
      </w:r>
    </w:p>
    <w:p>
      <w:pPr>
        <w:pStyle w:val="19"/>
        <w:numPr>
          <w:ilvl w:val="1"/>
          <w:numId w:val="13"/>
        </w:numPr>
        <w:rPr>
          <w:rFonts w:hint="eastAsia"/>
        </w:rPr>
      </w:pPr>
      <w:r>
        <w:rPr>
          <w:rFonts w:hint="eastAsia"/>
        </w:rPr>
        <w:t>评估意见（见附录E）；</w:t>
      </w:r>
    </w:p>
    <w:p>
      <w:pPr>
        <w:pStyle w:val="19"/>
        <w:numPr>
          <w:ilvl w:val="1"/>
          <w:numId w:val="13"/>
        </w:numPr>
        <w:rPr>
          <w:rFonts w:hint="eastAsia"/>
        </w:rPr>
      </w:pPr>
      <w:r>
        <w:rPr>
          <w:rFonts w:hint="eastAsia"/>
        </w:rPr>
        <w:t>评估专家名单。</w:t>
      </w:r>
    </w:p>
    <w:p>
      <w:pPr>
        <w:pStyle w:val="16"/>
        <w:rPr>
          <w:rFonts w:hint="eastAsia"/>
        </w:rPr>
      </w:pPr>
      <w:r>
        <w:rPr>
          <w:rFonts w:hint="eastAsia"/>
        </w:rPr>
        <w:t>评估报告经咨询评估机构内部审核后出具。</w:t>
      </w:r>
    </w:p>
    <w:p>
      <w:pPr>
        <w:pStyle w:val="15"/>
        <w:rPr>
          <w:rFonts w:hint="eastAsia"/>
        </w:rPr>
      </w:pPr>
      <w:r>
        <w:rPr>
          <w:rFonts w:hint="eastAsia"/>
        </w:rPr>
        <w:t>成果交付</w:t>
      </w:r>
    </w:p>
    <w:p>
      <w:pPr>
        <w:pStyle w:val="11"/>
        <w:rPr>
          <w:rFonts w:hint="eastAsia"/>
        </w:rPr>
      </w:pPr>
      <w:r>
        <w:t>咨询评估机构完成</w:t>
      </w:r>
      <w:r>
        <w:rPr>
          <w:rFonts w:hint="eastAsia"/>
        </w:rPr>
        <w:t>委托任务</w:t>
      </w:r>
      <w:r>
        <w:t>后，应按照咨询评估委托书</w:t>
      </w:r>
      <w:r>
        <w:rPr>
          <w:rFonts w:hint="eastAsia"/>
        </w:rPr>
        <w:t>的</w:t>
      </w:r>
      <w:r>
        <w:t>要求提交</w:t>
      </w:r>
      <w:r>
        <w:rPr>
          <w:rFonts w:hint="eastAsia"/>
        </w:rPr>
        <w:t>《评估报告》，以及政府</w:t>
      </w:r>
      <w:r>
        <w:t>投资</w:t>
      </w:r>
      <w:r>
        <w:rPr>
          <w:rFonts w:hint="eastAsia"/>
        </w:rPr>
        <w:t>管理</w:t>
      </w:r>
      <w:r>
        <w:t>部门</w:t>
      </w:r>
      <w:r>
        <w:rPr>
          <w:rFonts w:hint="eastAsia"/>
        </w:rPr>
        <w:t>所要求的其他资料。</w:t>
      </w:r>
    </w:p>
    <w:p>
      <w:pPr>
        <w:pStyle w:val="15"/>
      </w:pPr>
      <w:r>
        <w:rPr>
          <w:rFonts w:hint="eastAsia"/>
        </w:rPr>
        <w:t>资料归档</w:t>
      </w:r>
    </w:p>
    <w:p>
      <w:pPr>
        <w:pStyle w:val="11"/>
        <w:rPr>
          <w:rFonts w:hint="eastAsia"/>
        </w:rPr>
      </w:pPr>
      <w:r>
        <w:rPr>
          <w:rFonts w:hint="eastAsia"/>
        </w:rPr>
        <w:t>《评估报告》报送政府投资管理部门后，</w:t>
      </w:r>
      <w:r>
        <w:t>咨询评估机构</w:t>
      </w:r>
      <w:r>
        <w:rPr>
          <w:rFonts w:hint="eastAsia"/>
        </w:rPr>
        <w:t>应对评估资料进行归档，包括但不限于：</w:t>
      </w:r>
    </w:p>
    <w:p>
      <w:pPr>
        <w:pStyle w:val="18"/>
        <w:numPr>
          <w:ilvl w:val="0"/>
          <w:numId w:val="16"/>
        </w:numPr>
        <w:tabs>
          <w:tab w:val="clear" w:pos="840"/>
        </w:tabs>
        <w:rPr>
          <w:rFonts w:hint="eastAsia"/>
        </w:rPr>
      </w:pPr>
      <w:r>
        <w:rPr>
          <w:rFonts w:hint="eastAsia"/>
        </w:rPr>
        <w:t>工作方案；</w:t>
      </w:r>
    </w:p>
    <w:p>
      <w:pPr>
        <w:pStyle w:val="18"/>
        <w:numPr>
          <w:ilvl w:val="0"/>
          <w:numId w:val="16"/>
        </w:numPr>
        <w:tabs>
          <w:tab w:val="clear" w:pos="840"/>
        </w:tabs>
        <w:rPr>
          <w:rFonts w:hint="eastAsia"/>
        </w:rPr>
      </w:pPr>
      <w:r>
        <w:rPr>
          <w:rFonts w:hint="eastAsia"/>
        </w:rPr>
        <w:t>项目技术文本；</w:t>
      </w:r>
    </w:p>
    <w:p>
      <w:pPr>
        <w:pStyle w:val="18"/>
        <w:numPr>
          <w:ilvl w:val="0"/>
          <w:numId w:val="16"/>
        </w:numPr>
        <w:tabs>
          <w:tab w:val="clear" w:pos="840"/>
        </w:tabs>
      </w:pPr>
      <w:r>
        <w:rPr>
          <w:rFonts w:hint="eastAsia"/>
        </w:rPr>
        <w:t>项目技术文本（修改终稿）；</w:t>
      </w:r>
    </w:p>
    <w:p>
      <w:pPr>
        <w:pStyle w:val="18"/>
        <w:numPr>
          <w:ilvl w:val="0"/>
          <w:numId w:val="16"/>
        </w:numPr>
        <w:tabs>
          <w:tab w:val="clear" w:pos="840"/>
        </w:tabs>
        <w:rPr>
          <w:rFonts w:hint="eastAsia"/>
        </w:rPr>
      </w:pPr>
      <w:r>
        <w:rPr>
          <w:rFonts w:hint="eastAsia"/>
        </w:rPr>
        <w:t>《评估报告》。</w:t>
      </w:r>
    </w:p>
    <w:bookmarkEnd w:id="68"/>
    <w:bookmarkEnd w:id="69"/>
    <w:bookmarkEnd w:id="70"/>
    <w:p>
      <w:pPr>
        <w:pStyle w:val="14"/>
      </w:pPr>
      <w:bookmarkStart w:id="71" w:name="_Toc111556049"/>
      <w:bookmarkStart w:id="72" w:name="_Toc2247"/>
      <w:bookmarkStart w:id="73" w:name="_Toc622"/>
      <w:bookmarkStart w:id="74" w:name="_Toc885"/>
      <w:bookmarkStart w:id="75" w:name="_Toc18462"/>
      <w:bookmarkStart w:id="76" w:name="_Toc107473431"/>
      <w:bookmarkStart w:id="77" w:name="_Toc107473228"/>
      <w:bookmarkStart w:id="78" w:name="_Toc19282"/>
      <w:r>
        <w:rPr>
          <w:rFonts w:hint="eastAsia"/>
        </w:rPr>
        <w:t>监督评价</w:t>
      </w:r>
      <w:bookmarkEnd w:id="71"/>
      <w:bookmarkEnd w:id="72"/>
      <w:bookmarkEnd w:id="73"/>
      <w:bookmarkEnd w:id="74"/>
      <w:bookmarkEnd w:id="75"/>
      <w:bookmarkEnd w:id="76"/>
      <w:bookmarkEnd w:id="77"/>
      <w:bookmarkEnd w:id="78"/>
    </w:p>
    <w:p>
      <w:pPr>
        <w:pStyle w:val="20"/>
        <w:rPr>
          <w:rFonts w:hint="eastAsia"/>
        </w:rPr>
      </w:pPr>
      <w:r>
        <w:rPr>
          <w:rFonts w:hint="eastAsia"/>
        </w:rPr>
        <w:t>政府投资管理部门应对咨询评估机构评估项目进行监督检查。</w:t>
      </w:r>
    </w:p>
    <w:p>
      <w:pPr>
        <w:pStyle w:val="20"/>
        <w:rPr>
          <w:rFonts w:hint="eastAsia"/>
        </w:rPr>
      </w:pPr>
      <w:r>
        <w:rPr>
          <w:rFonts w:hint="eastAsia"/>
        </w:rPr>
        <w:t>咨询评估机构应建立评价机制，采用自我评价、项目单位评价和第三方评价等方式，对咨询评估工作进行评价。</w:t>
      </w:r>
    </w:p>
    <w:p>
      <w:pPr>
        <w:pStyle w:val="20"/>
        <w:rPr>
          <w:rFonts w:hint="eastAsia"/>
        </w:rPr>
      </w:pPr>
      <w:r>
        <w:rPr>
          <w:rFonts w:hint="eastAsia"/>
        </w:rPr>
        <w:t>监督评价内容包括但不限于：</w:t>
      </w:r>
    </w:p>
    <w:p>
      <w:pPr>
        <w:pStyle w:val="18"/>
        <w:numPr>
          <w:ilvl w:val="0"/>
          <w:numId w:val="17"/>
        </w:numPr>
        <w:tabs>
          <w:tab w:val="clear" w:pos="840"/>
        </w:tabs>
        <w:rPr>
          <w:rFonts w:hint="eastAsia"/>
        </w:rPr>
      </w:pPr>
      <w:r>
        <w:rPr>
          <w:rFonts w:hint="eastAsia"/>
        </w:rPr>
        <w:t>咨询评估项目执行情况；</w:t>
      </w:r>
    </w:p>
    <w:p>
      <w:pPr>
        <w:pStyle w:val="18"/>
        <w:numPr>
          <w:ilvl w:val="0"/>
          <w:numId w:val="17"/>
        </w:numPr>
        <w:tabs>
          <w:tab w:val="clear" w:pos="840"/>
        </w:tabs>
        <w:rPr>
          <w:rFonts w:hint="eastAsia"/>
        </w:rPr>
      </w:pPr>
      <w:r>
        <w:rPr>
          <w:rFonts w:hint="eastAsia"/>
        </w:rPr>
        <w:t>咨询评估项目按时办结率；</w:t>
      </w:r>
    </w:p>
    <w:p>
      <w:pPr>
        <w:pStyle w:val="18"/>
        <w:numPr>
          <w:ilvl w:val="0"/>
          <w:numId w:val="17"/>
        </w:numPr>
        <w:tabs>
          <w:tab w:val="clear" w:pos="840"/>
        </w:tabs>
        <w:rPr>
          <w:rFonts w:hint="eastAsia"/>
        </w:rPr>
      </w:pPr>
      <w:r>
        <w:rPr>
          <w:rFonts w:hint="eastAsia"/>
        </w:rPr>
        <w:t>评估报告的质量；</w:t>
      </w:r>
    </w:p>
    <w:p>
      <w:pPr>
        <w:pStyle w:val="18"/>
        <w:numPr>
          <w:ilvl w:val="0"/>
          <w:numId w:val="17"/>
        </w:numPr>
        <w:tabs>
          <w:tab w:val="clear" w:pos="840"/>
        </w:tabs>
        <w:rPr>
          <w:rFonts w:hint="eastAsia"/>
        </w:rPr>
      </w:pPr>
      <w:r>
        <w:rPr>
          <w:rFonts w:hint="eastAsia"/>
        </w:rPr>
        <w:t>评估档案规范性和完整性；</w:t>
      </w:r>
    </w:p>
    <w:p>
      <w:pPr>
        <w:pStyle w:val="18"/>
        <w:numPr>
          <w:ilvl w:val="0"/>
          <w:numId w:val="17"/>
        </w:numPr>
        <w:tabs>
          <w:tab w:val="clear" w:pos="840"/>
        </w:tabs>
      </w:pPr>
      <w:r>
        <w:rPr>
          <w:rFonts w:hint="eastAsia"/>
        </w:rPr>
        <w:t>评估工作的合规性；</w:t>
      </w:r>
    </w:p>
    <w:p>
      <w:pPr>
        <w:pStyle w:val="18"/>
        <w:numPr>
          <w:ilvl w:val="0"/>
          <w:numId w:val="17"/>
        </w:numPr>
        <w:tabs>
          <w:tab w:val="clear" w:pos="840"/>
        </w:tabs>
        <w:rPr>
          <w:rFonts w:hint="eastAsia"/>
        </w:rPr>
      </w:pPr>
      <w:r>
        <w:rPr>
          <w:rFonts w:hint="eastAsia"/>
        </w:rPr>
        <w:t>咨询评估服务满意率；</w:t>
      </w:r>
    </w:p>
    <w:p>
      <w:pPr>
        <w:pStyle w:val="18"/>
        <w:numPr>
          <w:ilvl w:val="0"/>
          <w:numId w:val="17"/>
        </w:numPr>
        <w:tabs>
          <w:tab w:val="clear" w:pos="840"/>
        </w:tabs>
        <w:rPr>
          <w:rFonts w:hint="eastAsia"/>
        </w:rPr>
      </w:pPr>
      <w:r>
        <w:rPr>
          <w:rFonts w:hint="eastAsia"/>
        </w:rPr>
        <w:t>评估管理人员履职情况；</w:t>
      </w:r>
    </w:p>
    <w:p>
      <w:pPr>
        <w:pStyle w:val="18"/>
        <w:numPr>
          <w:ilvl w:val="0"/>
          <w:numId w:val="17"/>
        </w:numPr>
        <w:tabs>
          <w:tab w:val="clear" w:pos="840"/>
        </w:tabs>
      </w:pPr>
      <w:r>
        <w:rPr>
          <w:rFonts w:hint="eastAsia"/>
        </w:rPr>
        <w:t>评估专家履职情况。</w:t>
      </w:r>
    </w:p>
    <w:p>
      <w:pPr>
        <w:pStyle w:val="21"/>
      </w:pPr>
    </w:p>
    <w:p>
      <w:pPr>
        <w:pStyle w:val="22"/>
      </w:pPr>
    </w:p>
    <w:p>
      <w:pPr>
        <w:pStyle w:val="23"/>
        <w:rPr>
          <w:rFonts w:hint="eastAsia"/>
        </w:rPr>
      </w:pPr>
      <w:bookmarkStart w:id="79" w:name="_Toc664"/>
      <w:bookmarkStart w:id="80" w:name="_Toc619"/>
      <w:bookmarkStart w:id="81" w:name="_Toc11926"/>
      <w:bookmarkStart w:id="82" w:name="_Toc1129"/>
      <w:bookmarkStart w:id="83" w:name="_Toc21612"/>
      <w:bookmarkStart w:id="84" w:name="_Toc18131"/>
      <w:bookmarkStart w:id="85" w:name="_Toc29890"/>
      <w:bookmarkStart w:id="86" w:name="_Toc611"/>
      <w:r>
        <w:br w:type="textWrapping"/>
      </w:r>
      <w:bookmarkStart w:id="87" w:name="_Toc107473229"/>
      <w:bookmarkStart w:id="88" w:name="_Toc107473432"/>
      <w:bookmarkStart w:id="89" w:name="_Toc111556050"/>
      <w:r>
        <w:rPr>
          <w:rFonts w:hint="eastAsia"/>
        </w:rPr>
        <w:t>（资料性）</w:t>
      </w:r>
      <w:r>
        <w:rPr>
          <w:rFonts w:hint="eastAsia"/>
        </w:rPr>
        <w:br w:type="textWrapping"/>
      </w:r>
      <w:bookmarkEnd w:id="79"/>
      <w:bookmarkEnd w:id="80"/>
      <w:r>
        <w:rPr>
          <w:rFonts w:hint="eastAsia"/>
        </w:rPr>
        <w:t>咨询评估流程</w:t>
      </w:r>
      <w:bookmarkEnd w:id="81"/>
      <w:bookmarkEnd w:id="82"/>
      <w:bookmarkEnd w:id="83"/>
      <w:bookmarkEnd w:id="84"/>
      <w:bookmarkEnd w:id="85"/>
      <w:bookmarkEnd w:id="86"/>
      <w:bookmarkEnd w:id="87"/>
      <w:bookmarkEnd w:id="88"/>
      <w:bookmarkEnd w:id="89"/>
    </w:p>
    <w:p>
      <w:pPr>
        <w:pStyle w:val="11"/>
        <w:rPr>
          <w:rFonts w:hint="eastAsia"/>
        </w:rPr>
      </w:pPr>
      <w:r>
        <w:rPr>
          <w:rFonts w:hint="eastAsia"/>
        </w:rPr>
        <w:t>咨询评估流程见图A.1。</w:t>
      </w:r>
    </w:p>
    <w:p>
      <w:pPr>
        <w:pStyle w:val="11"/>
        <w:ind w:firstLine="0" w:firstLineChars="0"/>
        <w:jc w:val="center"/>
        <w:rPr>
          <w:rFonts w:hint="eastAsia"/>
        </w:rPr>
      </w:pPr>
      <w:r>
        <w:drawing>
          <wp:inline distT="0" distB="0" distL="114300" distR="114300">
            <wp:extent cx="2733675" cy="6615430"/>
            <wp:effectExtent l="0" t="0" r="9525" b="13970"/>
            <wp:docPr id="2" name="图片 1"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绘图1"/>
                    <pic:cNvPicPr>
                      <a:picLocks noChangeAspect="1"/>
                    </pic:cNvPicPr>
                  </pic:nvPicPr>
                  <pic:blipFill>
                    <a:blip r:embed="rId5"/>
                    <a:stretch>
                      <a:fillRect/>
                    </a:stretch>
                  </pic:blipFill>
                  <pic:spPr>
                    <a:xfrm>
                      <a:off x="0" y="0"/>
                      <a:ext cx="2733675" cy="6615430"/>
                    </a:xfrm>
                    <a:prstGeom prst="rect">
                      <a:avLst/>
                    </a:prstGeom>
                    <a:noFill/>
                    <a:ln>
                      <a:noFill/>
                    </a:ln>
                  </pic:spPr>
                </pic:pic>
              </a:graphicData>
            </a:graphic>
          </wp:inline>
        </w:drawing>
      </w:r>
    </w:p>
    <w:p>
      <w:pPr>
        <w:pStyle w:val="24"/>
        <w:spacing w:before="156" w:after="156"/>
        <w:rPr>
          <w:rFonts w:hint="eastAsia"/>
        </w:rPr>
      </w:pPr>
      <w:r>
        <w:rPr>
          <w:rFonts w:hint="eastAsia"/>
        </w:rPr>
        <w:t>咨询评估流程图</w:t>
      </w:r>
    </w:p>
    <w:p>
      <w:pPr>
        <w:pStyle w:val="21"/>
      </w:pPr>
    </w:p>
    <w:p>
      <w:pPr>
        <w:pStyle w:val="22"/>
      </w:pPr>
    </w:p>
    <w:p>
      <w:pPr>
        <w:pStyle w:val="23"/>
        <w:rPr>
          <w:rFonts w:hint="eastAsia"/>
        </w:rPr>
      </w:pPr>
      <w:bookmarkStart w:id="90" w:name="_Toc8593"/>
      <w:bookmarkStart w:id="91" w:name="_Toc1189"/>
      <w:bookmarkStart w:id="92" w:name="_Toc19454"/>
      <w:bookmarkStart w:id="93" w:name="_Toc24775"/>
      <w:bookmarkStart w:id="94" w:name="_Toc15052"/>
      <w:bookmarkStart w:id="95" w:name="_Toc6392"/>
      <w:bookmarkStart w:id="96" w:name="_Toc15143"/>
      <w:bookmarkStart w:id="97" w:name="_Toc13437"/>
      <w:r>
        <w:br w:type="textWrapping"/>
      </w:r>
      <w:bookmarkStart w:id="98" w:name="_Toc111556051"/>
      <w:bookmarkStart w:id="99" w:name="_Toc107473433"/>
      <w:bookmarkStart w:id="100" w:name="_Toc107473230"/>
      <w:r>
        <w:rPr>
          <w:rFonts w:hint="eastAsia"/>
        </w:rPr>
        <w:t>（规范性）</w:t>
      </w:r>
      <w:r>
        <w:rPr>
          <w:rFonts w:hint="eastAsia"/>
        </w:rPr>
        <w:br w:type="textWrapping"/>
      </w:r>
      <w:bookmarkEnd w:id="90"/>
      <w:bookmarkEnd w:id="91"/>
      <w:bookmarkEnd w:id="92"/>
      <w:bookmarkEnd w:id="93"/>
      <w:bookmarkEnd w:id="94"/>
      <w:bookmarkEnd w:id="95"/>
      <w:bookmarkEnd w:id="96"/>
      <w:r>
        <w:rPr>
          <w:rFonts w:hint="eastAsia"/>
        </w:rPr>
        <w:t>预评估要点</w:t>
      </w:r>
      <w:bookmarkEnd w:id="98"/>
    </w:p>
    <w:p>
      <w:pPr>
        <w:pStyle w:val="25"/>
        <w:spacing w:before="312" w:after="312"/>
      </w:pPr>
      <w:r>
        <w:rPr>
          <w:rFonts w:hint="eastAsia"/>
        </w:rPr>
        <w:t>采集信息</w:t>
      </w:r>
    </w:p>
    <w:p>
      <w:pPr>
        <w:pStyle w:val="26"/>
        <w:spacing w:before="156" w:after="156"/>
        <w:rPr>
          <w:rFonts w:hint="eastAsia"/>
        </w:rPr>
      </w:pPr>
      <w:r>
        <w:rPr>
          <w:rFonts w:hint="eastAsia"/>
        </w:rPr>
        <w:t>项目概况</w:t>
      </w:r>
    </w:p>
    <w:p>
      <w:pPr>
        <w:pStyle w:val="27"/>
        <w:rPr>
          <w:rFonts w:hint="eastAsia"/>
        </w:rPr>
      </w:pPr>
      <w:r>
        <w:rPr>
          <w:rFonts w:hint="eastAsia"/>
        </w:rPr>
        <w:t>项目所属领域。</w:t>
      </w:r>
    </w:p>
    <w:p>
      <w:pPr>
        <w:pStyle w:val="27"/>
        <w:rPr>
          <w:rFonts w:hint="eastAsia"/>
        </w:rPr>
      </w:pPr>
      <w:r>
        <w:rPr>
          <w:rFonts w:hint="eastAsia"/>
        </w:rPr>
        <w:t>项目建设地点。</w:t>
      </w:r>
    </w:p>
    <w:p>
      <w:pPr>
        <w:pStyle w:val="27"/>
        <w:rPr>
          <w:rFonts w:hint="eastAsia"/>
        </w:rPr>
      </w:pPr>
      <w:r>
        <w:rPr>
          <w:rFonts w:hint="eastAsia"/>
        </w:rPr>
        <w:t>建设规模及主要建设内容。</w:t>
      </w:r>
    </w:p>
    <w:p>
      <w:pPr>
        <w:pStyle w:val="27"/>
      </w:pPr>
      <w:r>
        <w:rPr>
          <w:rFonts w:hint="eastAsia"/>
        </w:rPr>
        <w:t>项目总投资（项目总概算）、投资（概算）构成及资金来源。</w:t>
      </w:r>
    </w:p>
    <w:p>
      <w:pPr>
        <w:pStyle w:val="26"/>
        <w:spacing w:before="156" w:after="156"/>
      </w:pPr>
      <w:r>
        <w:t>项目前期工作情况</w:t>
      </w:r>
    </w:p>
    <w:p>
      <w:pPr>
        <w:pStyle w:val="27"/>
      </w:pPr>
      <w:r>
        <w:t>项目前期合规性手续办理情况</w:t>
      </w:r>
      <w:r>
        <w:rPr>
          <w:rFonts w:hint="eastAsia"/>
        </w:rPr>
        <w:t>。</w:t>
      </w:r>
    </w:p>
    <w:p>
      <w:pPr>
        <w:pStyle w:val="27"/>
      </w:pPr>
      <w:r>
        <w:rPr>
          <w:rFonts w:hint="eastAsia"/>
        </w:rPr>
        <w:t>上</w:t>
      </w:r>
      <w:r>
        <w:t>一阶段审批文件批复的建设规模、主要建设内容及项目总投资（项目总概算）。</w:t>
      </w:r>
    </w:p>
    <w:p>
      <w:pPr>
        <w:pStyle w:val="25"/>
        <w:spacing w:before="312" w:after="312"/>
      </w:pPr>
      <w:r>
        <w:rPr>
          <w:rFonts w:hint="eastAsia"/>
        </w:rPr>
        <w:t>审核要点</w:t>
      </w:r>
    </w:p>
    <w:p>
      <w:pPr>
        <w:pStyle w:val="26"/>
        <w:spacing w:before="156" w:after="156"/>
      </w:pPr>
      <w:r>
        <w:rPr>
          <w:rFonts w:hint="eastAsia"/>
        </w:rPr>
        <w:t>项目技术文本规范性</w:t>
      </w:r>
    </w:p>
    <w:p>
      <w:pPr>
        <w:pStyle w:val="27"/>
        <w:rPr>
          <w:rFonts w:hint="eastAsia"/>
        </w:rPr>
      </w:pPr>
      <w:r>
        <w:rPr>
          <w:rFonts w:hint="eastAsia"/>
        </w:rPr>
        <w:t>编制单位工程咨询资信证书或设计单位设计资质（涉密项目保密资质）。</w:t>
      </w:r>
    </w:p>
    <w:p>
      <w:pPr>
        <w:pStyle w:val="27"/>
        <w:rPr>
          <w:rFonts w:hint="eastAsia"/>
        </w:rPr>
      </w:pPr>
      <w:r>
        <w:rPr>
          <w:rFonts w:hint="eastAsia"/>
        </w:rPr>
        <w:t>咨询或设计单位盖章情况。</w:t>
      </w:r>
    </w:p>
    <w:p>
      <w:pPr>
        <w:pStyle w:val="27"/>
        <w:rPr>
          <w:rFonts w:hint="eastAsia"/>
        </w:rPr>
      </w:pPr>
      <w:r>
        <w:rPr>
          <w:rFonts w:hint="eastAsia"/>
        </w:rPr>
        <w:t>咨询工程师（投资）登记证书或设计人员执业资格证书（专业水平等级证书）情况。</w:t>
      </w:r>
    </w:p>
    <w:p>
      <w:pPr>
        <w:pStyle w:val="27"/>
        <w:rPr>
          <w:rFonts w:hint="eastAsia"/>
        </w:rPr>
      </w:pPr>
      <w:r>
        <w:rPr>
          <w:rFonts w:hint="eastAsia"/>
        </w:rPr>
        <w:t>附件齐全性。</w:t>
      </w:r>
    </w:p>
    <w:p>
      <w:pPr>
        <w:pStyle w:val="26"/>
        <w:spacing w:before="156" w:after="156"/>
        <w:rPr>
          <w:rFonts w:hint="eastAsia"/>
        </w:rPr>
      </w:pPr>
      <w:r>
        <w:rPr>
          <w:rFonts w:hint="eastAsia"/>
        </w:rPr>
        <w:t>建设规模及建设内容合理性</w:t>
      </w:r>
    </w:p>
    <w:p>
      <w:pPr>
        <w:pStyle w:val="28"/>
        <w:spacing w:before="156" w:after="156"/>
        <w:rPr>
          <w:rFonts w:hint="eastAsia"/>
        </w:rPr>
      </w:pPr>
      <w:r>
        <w:rPr>
          <w:rFonts w:hint="eastAsia"/>
        </w:rPr>
        <w:t>项目建议书及可行性研究报告</w:t>
      </w:r>
    </w:p>
    <w:p>
      <w:pPr>
        <w:pStyle w:val="29"/>
        <w:rPr>
          <w:rFonts w:hint="eastAsia"/>
        </w:rPr>
      </w:pPr>
      <w:r>
        <w:rPr>
          <w:rFonts w:hint="eastAsia"/>
        </w:rPr>
        <w:t>采用建设标准及设计标准。</w:t>
      </w:r>
    </w:p>
    <w:p>
      <w:pPr>
        <w:pStyle w:val="29"/>
        <w:rPr>
          <w:rFonts w:hint="eastAsia"/>
        </w:rPr>
      </w:pPr>
      <w:r>
        <w:rPr>
          <w:rFonts w:hint="eastAsia"/>
        </w:rPr>
        <w:t>项目建设规模测算是否符合相关标准要求。</w:t>
      </w:r>
    </w:p>
    <w:p>
      <w:pPr>
        <w:pStyle w:val="29"/>
        <w:rPr>
          <w:rFonts w:hint="eastAsia"/>
        </w:rPr>
      </w:pPr>
      <w:r>
        <w:rPr>
          <w:rFonts w:hint="eastAsia"/>
        </w:rPr>
        <w:t>项目建设内容。</w:t>
      </w:r>
    </w:p>
    <w:p>
      <w:pPr>
        <w:pStyle w:val="28"/>
        <w:spacing w:before="156" w:after="156"/>
        <w:rPr>
          <w:rFonts w:hint="eastAsia"/>
        </w:rPr>
      </w:pPr>
      <w:r>
        <w:rPr>
          <w:rFonts w:hint="eastAsia"/>
        </w:rPr>
        <w:t>初步设计</w:t>
      </w:r>
    </w:p>
    <w:p>
      <w:pPr>
        <w:pStyle w:val="29"/>
        <w:rPr>
          <w:rFonts w:hint="eastAsia"/>
        </w:rPr>
      </w:pPr>
      <w:r>
        <w:rPr>
          <w:rFonts w:hint="eastAsia"/>
        </w:rPr>
        <w:t>各专业设计深度是否满足建筑工程设计文件及其他规范编制深度规定。</w:t>
      </w:r>
    </w:p>
    <w:p>
      <w:pPr>
        <w:pStyle w:val="29"/>
      </w:pPr>
      <w:r>
        <w:rPr>
          <w:rFonts w:hint="eastAsia"/>
        </w:rPr>
        <w:t>设计内容的缺漏情况。</w:t>
      </w:r>
    </w:p>
    <w:p>
      <w:pPr>
        <w:pStyle w:val="28"/>
        <w:spacing w:before="156" w:after="156"/>
        <w:rPr>
          <w:rFonts w:hint="eastAsia"/>
        </w:rPr>
      </w:pPr>
      <w:r>
        <w:rPr>
          <w:rFonts w:hint="eastAsia"/>
        </w:rPr>
        <w:t>概算编制</w:t>
      </w:r>
    </w:p>
    <w:p>
      <w:pPr>
        <w:pStyle w:val="29"/>
        <w:rPr>
          <w:rFonts w:hint="eastAsia"/>
        </w:rPr>
      </w:pPr>
      <w:r>
        <w:rPr>
          <w:rFonts w:hint="eastAsia"/>
        </w:rPr>
        <w:t>工程费用综合造价指标、其他费用取费费率。</w:t>
      </w:r>
    </w:p>
    <w:p>
      <w:pPr>
        <w:pStyle w:val="29"/>
        <w:rPr>
          <w:rFonts w:hint="eastAsia"/>
        </w:rPr>
      </w:pPr>
      <w:r>
        <w:rPr>
          <w:rFonts w:hint="eastAsia"/>
        </w:rPr>
        <w:t>预备费取费费率。</w:t>
      </w:r>
    </w:p>
    <w:bookmarkEnd w:id="97"/>
    <w:bookmarkEnd w:id="99"/>
    <w:bookmarkEnd w:id="100"/>
    <w:p>
      <w:pPr>
        <w:pStyle w:val="11"/>
      </w:pPr>
    </w:p>
    <w:p>
      <w:pPr>
        <w:pStyle w:val="21"/>
      </w:pPr>
    </w:p>
    <w:p>
      <w:pPr>
        <w:numPr>
          <w:ilvl w:val="0"/>
          <w:numId w:val="4"/>
        </w:numPr>
        <w:spacing w:line="14" w:lineRule="exact"/>
        <w:ind w:left="811" w:hanging="448"/>
        <w:jc w:val="center"/>
        <w:outlineLvl w:val="0"/>
        <w:rPr>
          <w:color w:val="FFFFFF"/>
        </w:rPr>
      </w:pPr>
    </w:p>
    <w:p>
      <w:pPr>
        <w:pStyle w:val="23"/>
        <w:rPr>
          <w:rFonts w:hint="eastAsia"/>
        </w:rPr>
      </w:pPr>
      <w:bookmarkStart w:id="101" w:name="_Toc23053"/>
      <w:bookmarkStart w:id="102" w:name="_Toc25897"/>
      <w:r>
        <w:br w:type="textWrapping"/>
      </w:r>
      <w:bookmarkStart w:id="103" w:name="_Toc111556052"/>
      <w:bookmarkStart w:id="104" w:name="_Toc107473231"/>
      <w:bookmarkStart w:id="105" w:name="_Toc107473434"/>
      <w:r>
        <w:rPr>
          <w:rFonts w:hint="eastAsia"/>
        </w:rPr>
        <w:t>（规范性）</w:t>
      </w:r>
      <w:r>
        <w:rPr>
          <w:rFonts w:hint="eastAsia"/>
        </w:rPr>
        <w:br w:type="textWrapping"/>
      </w:r>
      <w:bookmarkEnd w:id="101"/>
      <w:bookmarkEnd w:id="102"/>
      <w:bookmarkStart w:id="106" w:name="_Toc22430"/>
      <w:r>
        <w:rPr>
          <w:rFonts w:hint="eastAsia"/>
        </w:rPr>
        <w:t>评估要点</w:t>
      </w:r>
      <w:bookmarkEnd w:id="103"/>
      <w:bookmarkEnd w:id="104"/>
      <w:bookmarkEnd w:id="105"/>
      <w:bookmarkEnd w:id="106"/>
    </w:p>
    <w:p>
      <w:pPr>
        <w:pStyle w:val="25"/>
        <w:spacing w:before="312" w:after="312"/>
      </w:pPr>
      <w:r>
        <w:rPr>
          <w:rFonts w:hint="eastAsia"/>
        </w:rPr>
        <w:t>项目建议书（建筑类项目）</w:t>
      </w:r>
    </w:p>
    <w:p>
      <w:pPr>
        <w:pStyle w:val="26"/>
        <w:spacing w:before="156" w:after="156"/>
        <w:rPr>
          <w:rFonts w:hint="eastAsia"/>
        </w:rPr>
      </w:pPr>
      <w:r>
        <w:rPr>
          <w:rFonts w:hint="eastAsia"/>
        </w:rPr>
        <w:t>建设背景和必要性评估</w:t>
      </w:r>
    </w:p>
    <w:p>
      <w:pPr>
        <w:pStyle w:val="11"/>
        <w:rPr>
          <w:rFonts w:hint="eastAsia"/>
        </w:rPr>
      </w:pPr>
      <w:r>
        <w:rPr>
          <w:rFonts w:hint="eastAsia"/>
        </w:rPr>
        <w:t>重点审查项目提出背景、前期工作进展等情况；重点审查项目建设与规划政策的符合性；重点审查项目建设的必要性、建设时机的适当性和建设理由的充分性。</w:t>
      </w:r>
    </w:p>
    <w:p>
      <w:pPr>
        <w:pStyle w:val="26"/>
        <w:spacing w:before="156" w:after="156"/>
        <w:rPr>
          <w:rFonts w:hint="eastAsia"/>
        </w:rPr>
      </w:pPr>
      <w:r>
        <w:rPr>
          <w:rFonts w:hint="eastAsia"/>
        </w:rPr>
        <w:t>项目需求分析与产出方案评估</w:t>
      </w:r>
    </w:p>
    <w:p>
      <w:pPr>
        <w:pStyle w:val="11"/>
        <w:rPr>
          <w:rFonts w:hint="eastAsia"/>
        </w:rPr>
      </w:pPr>
      <w:r>
        <w:rPr>
          <w:rFonts w:hint="eastAsia"/>
        </w:rPr>
        <w:t>重点审查研究提出的拟建项目近期和远期目标、产品或服务的需求总量及结构等；重点审查主要建设规模、内容及选定的建设标准是否合理；重点审查项目产出或服务能力的合理性。</w:t>
      </w:r>
    </w:p>
    <w:p>
      <w:pPr>
        <w:pStyle w:val="26"/>
        <w:spacing w:before="156" w:after="156"/>
        <w:rPr>
          <w:rFonts w:hint="eastAsia"/>
        </w:rPr>
      </w:pPr>
      <w:r>
        <w:rPr>
          <w:rFonts w:hint="eastAsia"/>
        </w:rPr>
        <w:t>项目选址与要素保障</w:t>
      </w:r>
    </w:p>
    <w:p>
      <w:pPr>
        <w:pStyle w:val="11"/>
        <w:rPr>
          <w:rFonts w:hint="eastAsia"/>
        </w:rPr>
      </w:pPr>
      <w:r>
        <w:rPr>
          <w:rFonts w:hint="eastAsia"/>
        </w:rPr>
        <w:t>审查是否通过多方案比选确定了项目场址或线路方案；审查拟建项目所在区域的自然环境、交通运输、公用工程等建设条件是否具备；审查土地、资源环境等要素保障指标是否满足。</w:t>
      </w:r>
    </w:p>
    <w:p>
      <w:pPr>
        <w:pStyle w:val="26"/>
        <w:spacing w:before="156" w:after="156"/>
        <w:rPr>
          <w:rFonts w:hint="eastAsia"/>
        </w:rPr>
      </w:pPr>
      <w:r>
        <w:rPr>
          <w:rFonts w:hint="eastAsia"/>
        </w:rPr>
        <w:t>项目建设方案</w:t>
      </w:r>
    </w:p>
    <w:p>
      <w:pPr>
        <w:pStyle w:val="11"/>
        <w:rPr>
          <w:rFonts w:hint="eastAsia"/>
        </w:rPr>
      </w:pPr>
      <w:r>
        <w:rPr>
          <w:rFonts w:hint="eastAsia"/>
        </w:rPr>
        <w:t>审查工程建设标准、工程总体布置、主要建（构）筑物和系统设计方案、外部运输方案、公用工程方案及其他配套设施方案；拟采取“代建制”的项目在建设方案中明确。</w:t>
      </w:r>
    </w:p>
    <w:p>
      <w:pPr>
        <w:pStyle w:val="26"/>
        <w:spacing w:before="156" w:after="156"/>
        <w:rPr>
          <w:rFonts w:hint="eastAsia"/>
        </w:rPr>
      </w:pPr>
      <w:r>
        <w:rPr>
          <w:rFonts w:hint="eastAsia"/>
        </w:rPr>
        <w:t>项目投融资与财务方案</w:t>
      </w:r>
    </w:p>
    <w:p>
      <w:pPr>
        <w:pStyle w:val="11"/>
        <w:rPr>
          <w:rFonts w:hint="eastAsia"/>
        </w:rPr>
      </w:pPr>
      <w:r>
        <w:rPr>
          <w:rFonts w:hint="eastAsia"/>
        </w:rPr>
        <w:t>审查选用的匡算依据、方法是否准确，投资匡算是否合理；审查资金筹措方案是否合理。</w:t>
      </w:r>
    </w:p>
    <w:p>
      <w:pPr>
        <w:pStyle w:val="26"/>
        <w:spacing w:before="156" w:after="156"/>
        <w:rPr>
          <w:rFonts w:hint="eastAsia"/>
        </w:rPr>
      </w:pPr>
      <w:r>
        <w:rPr>
          <w:rFonts w:hint="eastAsia"/>
        </w:rPr>
        <w:t>项目影响效果分析</w:t>
      </w:r>
    </w:p>
    <w:p>
      <w:pPr>
        <w:pStyle w:val="11"/>
        <w:rPr>
          <w:rFonts w:hint="eastAsia"/>
        </w:rPr>
      </w:pPr>
      <w:r>
        <w:rPr>
          <w:rFonts w:hint="eastAsia"/>
        </w:rPr>
        <w:t>审查经济、社会、生态环境、资源和能源等外部影响分析。</w:t>
      </w:r>
    </w:p>
    <w:p>
      <w:pPr>
        <w:pStyle w:val="26"/>
        <w:spacing w:before="156" w:after="156"/>
        <w:rPr>
          <w:rFonts w:hint="eastAsia"/>
        </w:rPr>
      </w:pPr>
      <w:r>
        <w:rPr>
          <w:rFonts w:hint="eastAsia"/>
        </w:rPr>
        <w:t>符合性审查</w:t>
      </w:r>
    </w:p>
    <w:p>
      <w:pPr>
        <w:pStyle w:val="11"/>
        <w:rPr>
          <w:rFonts w:hint="eastAsia"/>
        </w:rPr>
      </w:pPr>
      <w:r>
        <w:rPr>
          <w:rFonts w:hint="eastAsia"/>
        </w:rPr>
        <w:t>上位规划等相关文件；现行（最新）设计规范、规程、标准、规定等；其他相关文件。</w:t>
      </w:r>
    </w:p>
    <w:p>
      <w:pPr>
        <w:pStyle w:val="25"/>
        <w:spacing w:before="312" w:after="312"/>
      </w:pPr>
      <w:r>
        <w:rPr>
          <w:rFonts w:hint="eastAsia"/>
        </w:rPr>
        <w:t>可行性研究报告（建筑类项目）</w:t>
      </w:r>
    </w:p>
    <w:p>
      <w:pPr>
        <w:pStyle w:val="26"/>
        <w:spacing w:before="156" w:after="156"/>
        <w:rPr>
          <w:rFonts w:hint="eastAsia"/>
        </w:rPr>
      </w:pPr>
      <w:r>
        <w:rPr>
          <w:rFonts w:hint="eastAsia"/>
        </w:rPr>
        <w:t>批复执行情况评估</w:t>
      </w:r>
    </w:p>
    <w:p>
      <w:pPr>
        <w:pStyle w:val="11"/>
        <w:rPr>
          <w:rFonts w:hint="eastAsia"/>
        </w:rPr>
      </w:pPr>
      <w:r>
        <w:rPr>
          <w:rFonts w:hint="eastAsia"/>
        </w:rPr>
        <w:t>审查项目建设目标、建设功能、建设内容及规模、投资估算等是否符合项目建议书批复文件要求(如果没有项目建议书批复，应说明理由)。</w:t>
      </w:r>
    </w:p>
    <w:p>
      <w:pPr>
        <w:pStyle w:val="26"/>
        <w:spacing w:before="156" w:after="156"/>
        <w:rPr>
          <w:rFonts w:hint="eastAsia"/>
        </w:rPr>
      </w:pPr>
      <w:r>
        <w:rPr>
          <w:rFonts w:hint="eastAsia"/>
        </w:rPr>
        <w:t>建设必要性评估</w:t>
      </w:r>
    </w:p>
    <w:p>
      <w:pPr>
        <w:pStyle w:val="11"/>
        <w:rPr>
          <w:rFonts w:hint="eastAsia"/>
        </w:rPr>
      </w:pPr>
      <w:r>
        <w:rPr>
          <w:rFonts w:hint="eastAsia"/>
        </w:rPr>
        <w:t>审查项目立项背景、用地预审和规划选址等行政审批手续办理和其他前期工作进展情况；审查项目建设是否与相关规划政策符合；审查项目建设的必要性、建设时机的适当性和建设理由的充分性。</w:t>
      </w:r>
    </w:p>
    <w:p>
      <w:pPr>
        <w:pStyle w:val="26"/>
        <w:spacing w:before="156" w:after="156"/>
        <w:rPr>
          <w:rFonts w:hint="eastAsia"/>
        </w:rPr>
      </w:pPr>
      <w:r>
        <w:rPr>
          <w:rFonts w:hint="eastAsia"/>
        </w:rPr>
        <w:t>需求可靠性评估</w:t>
      </w:r>
    </w:p>
    <w:p>
      <w:pPr>
        <w:pStyle w:val="11"/>
        <w:rPr>
          <w:rFonts w:hint="eastAsia"/>
        </w:rPr>
      </w:pPr>
      <w:r>
        <w:rPr>
          <w:rFonts w:hint="eastAsia"/>
        </w:rPr>
        <w:t>审查项目功能定位、近期和远期目标、建筑物用房或服务的需求总量及结构。</w:t>
      </w:r>
    </w:p>
    <w:p>
      <w:pPr>
        <w:pStyle w:val="26"/>
        <w:spacing w:before="156" w:after="156"/>
        <w:rPr>
          <w:rFonts w:hint="eastAsia"/>
        </w:rPr>
      </w:pPr>
      <w:r>
        <w:rPr>
          <w:rFonts w:hint="eastAsia"/>
        </w:rPr>
        <w:t>建设内容与规模合规性评估</w:t>
      </w:r>
    </w:p>
    <w:p>
      <w:pPr>
        <w:pStyle w:val="11"/>
        <w:rPr>
          <w:rFonts w:hint="eastAsia"/>
        </w:rPr>
      </w:pPr>
      <w:r>
        <w:rPr>
          <w:rFonts w:hint="eastAsia"/>
        </w:rPr>
        <w:t>审查项目的总体布局、主要建设内容及规模、建设标准的合规性和合理性。</w:t>
      </w:r>
    </w:p>
    <w:p>
      <w:pPr>
        <w:pStyle w:val="26"/>
        <w:spacing w:before="156" w:after="156"/>
        <w:rPr>
          <w:rFonts w:hint="eastAsia"/>
        </w:rPr>
      </w:pPr>
      <w:r>
        <w:rPr>
          <w:rFonts w:hint="eastAsia"/>
        </w:rPr>
        <w:t>要素保障性评估</w:t>
      </w:r>
    </w:p>
    <w:p>
      <w:pPr>
        <w:pStyle w:val="11"/>
        <w:rPr>
          <w:rFonts w:hint="eastAsia"/>
        </w:rPr>
      </w:pPr>
      <w:r>
        <w:rPr>
          <w:rFonts w:hint="eastAsia"/>
        </w:rPr>
        <w:t>审查项目是否通过多方案比选提出最佳或合理的场址或线路，是否明确拟建项目场址或线路的土地权属等情况；审查项目所在区域的土地要素、建设条件、施工条件、生活配套设施和公共服务依托条件是否保障项目建设和运行等。</w:t>
      </w:r>
    </w:p>
    <w:p>
      <w:pPr>
        <w:pStyle w:val="26"/>
        <w:spacing w:before="156" w:after="156"/>
        <w:rPr>
          <w:rFonts w:hint="eastAsia"/>
        </w:rPr>
      </w:pPr>
      <w:r>
        <w:rPr>
          <w:rFonts w:hint="eastAsia"/>
        </w:rPr>
        <w:t>工程可行性评估</w:t>
      </w:r>
    </w:p>
    <w:p>
      <w:pPr>
        <w:pStyle w:val="11"/>
        <w:rPr>
          <w:rFonts w:hint="eastAsia"/>
        </w:rPr>
      </w:pPr>
      <w:r>
        <w:rPr>
          <w:rFonts w:hint="eastAsia"/>
        </w:rPr>
        <w:t>审查项目提出的工程总体布置，主要建（构）筑物方案、征收补偿（安置）方案等合规性和可行性；审查项目建设组织模式和机构设置、建设工期及时序安排、招标方案的合理性。</w:t>
      </w:r>
    </w:p>
    <w:p>
      <w:pPr>
        <w:pStyle w:val="26"/>
        <w:spacing w:before="156" w:after="156"/>
        <w:rPr>
          <w:rFonts w:hint="eastAsia"/>
        </w:rPr>
      </w:pPr>
      <w:r>
        <w:rPr>
          <w:rFonts w:hint="eastAsia"/>
        </w:rPr>
        <w:t>运营有效性评估</w:t>
      </w:r>
    </w:p>
    <w:p>
      <w:pPr>
        <w:pStyle w:val="11"/>
        <w:rPr>
          <w:rFonts w:hint="eastAsia"/>
        </w:rPr>
      </w:pPr>
      <w:r>
        <w:rPr>
          <w:rFonts w:hint="eastAsia"/>
        </w:rPr>
        <w:t>审查项目运营模式、运营组织方案的合理性；审查项目安全保障方案及其措施的可行性和项目绩效管理方案的合理性。</w:t>
      </w:r>
    </w:p>
    <w:p>
      <w:pPr>
        <w:pStyle w:val="26"/>
        <w:spacing w:before="156" w:after="156"/>
        <w:rPr>
          <w:rFonts w:hint="eastAsia"/>
        </w:rPr>
      </w:pPr>
      <w:r>
        <w:rPr>
          <w:rFonts w:hint="eastAsia"/>
        </w:rPr>
        <w:t>财务合理性评估</w:t>
      </w:r>
    </w:p>
    <w:p>
      <w:pPr>
        <w:pStyle w:val="11"/>
        <w:rPr>
          <w:rFonts w:hint="eastAsia"/>
        </w:rPr>
      </w:pPr>
      <w:r>
        <w:rPr>
          <w:rFonts w:hint="eastAsia"/>
        </w:rPr>
        <w:t>审查项目总投资估算编制依据、编制范围和建设期内分年度投资计划的准确性；审查项目资金筹措方案的合理性、项目申请财政资金投入的必要性和资金闭环管理方案的可行性。</w:t>
      </w:r>
    </w:p>
    <w:p>
      <w:pPr>
        <w:pStyle w:val="26"/>
        <w:spacing w:before="156" w:after="156"/>
        <w:rPr>
          <w:rFonts w:hint="eastAsia"/>
        </w:rPr>
      </w:pPr>
      <w:r>
        <w:rPr>
          <w:rFonts w:hint="eastAsia"/>
        </w:rPr>
        <w:t>影响可持续性评估</w:t>
      </w:r>
    </w:p>
    <w:p>
      <w:pPr>
        <w:pStyle w:val="11"/>
        <w:rPr>
          <w:rFonts w:hint="eastAsia"/>
        </w:rPr>
      </w:pPr>
      <w:r>
        <w:rPr>
          <w:rFonts w:hint="eastAsia"/>
        </w:rPr>
        <w:t xml:space="preserve">审查项目是否通过社会调查和公众参与等方式识别项目主要社会影响因素和主要利益相关者，分析不同目标群体的诉求及其对项目的支持程度,审查项目能效水平以及对项目所在地区能耗调控的影响是否在合规范围内。 </w:t>
      </w:r>
    </w:p>
    <w:p>
      <w:pPr>
        <w:pStyle w:val="26"/>
        <w:spacing w:before="156" w:after="156"/>
        <w:rPr>
          <w:rFonts w:hint="eastAsia"/>
        </w:rPr>
      </w:pPr>
      <w:r>
        <w:rPr>
          <w:rFonts w:hint="eastAsia"/>
        </w:rPr>
        <w:t>风险可控性评估</w:t>
      </w:r>
    </w:p>
    <w:p>
      <w:pPr>
        <w:pStyle w:val="11"/>
        <w:rPr>
          <w:rFonts w:hint="eastAsia"/>
        </w:rPr>
      </w:pPr>
      <w:r>
        <w:rPr>
          <w:rFonts w:hint="eastAsia"/>
        </w:rPr>
        <w:t>审查项目识别项目全生命周期的主要风险因素发生的可能性、损失程度，以及风险承担主体的韧性或脆弱性的准确性、全面性；审查项目风险管控方案及主要风险的防范和化解措施效果的可控性。</w:t>
      </w:r>
    </w:p>
    <w:p>
      <w:pPr>
        <w:pStyle w:val="26"/>
        <w:spacing w:before="156" w:after="156"/>
        <w:rPr>
          <w:rFonts w:hint="eastAsia"/>
        </w:rPr>
      </w:pPr>
      <w:r>
        <w:rPr>
          <w:rFonts w:hint="eastAsia"/>
        </w:rPr>
        <w:t>符合性审查依据</w:t>
      </w:r>
    </w:p>
    <w:p>
      <w:pPr>
        <w:pStyle w:val="27"/>
        <w:rPr>
          <w:rFonts w:hint="eastAsia"/>
        </w:rPr>
      </w:pPr>
      <w:r>
        <w:rPr>
          <w:rFonts w:hint="eastAsia"/>
        </w:rPr>
        <w:t>上位规划相关文件对项目建设是否具有支撑性。</w:t>
      </w:r>
    </w:p>
    <w:p>
      <w:pPr>
        <w:pStyle w:val="27"/>
        <w:rPr>
          <w:rFonts w:hint="eastAsia"/>
        </w:rPr>
      </w:pPr>
      <w:r>
        <w:rPr>
          <w:rFonts w:hint="eastAsia"/>
        </w:rPr>
        <w:t>编写内容和深度是否达到《政府投资项目可行性研究报告编写通用大纲》“三大目标，七个维度”的基础性要求，以及所属行业可行性研究报告编制相关规定的专业性要求。</w:t>
      </w:r>
    </w:p>
    <w:p>
      <w:pPr>
        <w:pStyle w:val="27"/>
        <w:rPr>
          <w:rFonts w:hint="eastAsia"/>
        </w:rPr>
      </w:pPr>
      <w:r>
        <w:rPr>
          <w:rFonts w:hint="eastAsia"/>
        </w:rPr>
        <w:t>编制依据和内容是否符合现行（最新）设计规范、规程、标准、规定，以及现行工程其他费用定额及收费文件等要求。</w:t>
      </w:r>
    </w:p>
    <w:p>
      <w:pPr>
        <w:pStyle w:val="27"/>
      </w:pPr>
      <w:r>
        <w:rPr>
          <w:rFonts w:hint="eastAsia"/>
        </w:rPr>
        <w:t>可行性研究报告是否由具备相应资信等级、业务范围、证书有效的工程咨询机构编制，是否由相应专业的咨询工程师（投资）签章。</w:t>
      </w:r>
    </w:p>
    <w:p>
      <w:pPr>
        <w:pStyle w:val="27"/>
        <w:numPr>
          <w:ilvl w:val="0"/>
          <w:numId w:val="0"/>
        </w:numPr>
      </w:pPr>
    </w:p>
    <w:p>
      <w:pPr>
        <w:pStyle w:val="25"/>
        <w:spacing w:before="312" w:after="312"/>
      </w:pPr>
      <w:r>
        <w:rPr>
          <w:rFonts w:hint="eastAsia"/>
        </w:rPr>
        <w:t>项目初步设计（建筑类项目）</w:t>
      </w:r>
    </w:p>
    <w:p>
      <w:pPr>
        <w:numPr>
          <w:ilvl w:val="2"/>
          <w:numId w:val="5"/>
        </w:numPr>
        <w:wordWrap w:val="0"/>
        <w:overflowPunct w:val="0"/>
        <w:autoSpaceDE w:val="0"/>
        <w:autoSpaceDN w:val="0"/>
        <w:spacing w:before="156" w:beforeLines="50" w:after="156" w:afterLines="50"/>
        <w:textAlignment w:val="baseline"/>
        <w:outlineLvl w:val="2"/>
        <w:rPr>
          <w:rFonts w:hint="eastAsia" w:ascii="黑体" w:eastAsia="黑体"/>
          <w:kern w:val="21"/>
        </w:rPr>
      </w:pPr>
      <w:r>
        <w:rPr>
          <w:rFonts w:hint="eastAsia" w:ascii="黑体" w:eastAsia="黑体"/>
          <w:kern w:val="21"/>
        </w:rPr>
        <w:t>批复执行情况评估</w:t>
      </w:r>
    </w:p>
    <w:p>
      <w:pPr>
        <w:pStyle w:val="11"/>
      </w:pPr>
      <w:r>
        <w:rPr>
          <w:rFonts w:hint="eastAsia"/>
        </w:rPr>
        <w:t>重点审查建设目标、建设功能及规模、建设内容及概算投资额是否符合可行性研究报告批复文件要求；设计规模及设计范围是否有变更；当有大的变化时，是否按基本建设程序规定进行了有关报批手续，是否获得主管部门的同意和批准。</w:t>
      </w:r>
    </w:p>
    <w:p>
      <w:pPr>
        <w:numPr>
          <w:ilvl w:val="2"/>
          <w:numId w:val="5"/>
        </w:numPr>
        <w:wordWrap w:val="0"/>
        <w:overflowPunct w:val="0"/>
        <w:autoSpaceDE w:val="0"/>
        <w:autoSpaceDN w:val="0"/>
        <w:spacing w:before="156" w:beforeLines="50" w:after="156" w:afterLines="50"/>
        <w:textAlignment w:val="baseline"/>
        <w:outlineLvl w:val="2"/>
        <w:rPr>
          <w:rFonts w:hint="eastAsia" w:ascii="黑体" w:eastAsia="黑体"/>
          <w:kern w:val="21"/>
        </w:rPr>
      </w:pPr>
      <w:r>
        <w:rPr>
          <w:rFonts w:hint="eastAsia" w:ascii="黑体" w:eastAsia="黑体"/>
          <w:kern w:val="21"/>
        </w:rPr>
        <w:t>各专业设计评估</w:t>
      </w:r>
    </w:p>
    <w:p>
      <w:pPr>
        <w:pStyle w:val="28"/>
        <w:spacing w:before="156" w:after="156"/>
        <w:rPr>
          <w:rFonts w:hint="eastAsia"/>
        </w:rPr>
      </w:pPr>
      <w:r>
        <w:rPr>
          <w:rFonts w:hint="eastAsia"/>
        </w:rPr>
        <w:t>建筑设计</w:t>
      </w:r>
    </w:p>
    <w:p>
      <w:pPr>
        <w:pStyle w:val="11"/>
      </w:pPr>
      <w:r>
        <w:rPr>
          <w:rFonts w:hint="eastAsia"/>
        </w:rPr>
        <w:t>重点审查总平面图、功能布局、建筑方案、管线设计、交通组织、竖向设计等设计内容是否达到相关规定的深度要求，是否与设计图纸相一致；设计依据是否充分；设备选型及材料是否合理等。</w:t>
      </w:r>
    </w:p>
    <w:p>
      <w:pPr>
        <w:pStyle w:val="28"/>
        <w:spacing w:before="156" w:after="156"/>
        <w:rPr>
          <w:rFonts w:hint="eastAsia"/>
        </w:rPr>
      </w:pPr>
      <w:r>
        <w:rPr>
          <w:rFonts w:hint="eastAsia"/>
        </w:rPr>
        <w:t>结构设计</w:t>
      </w:r>
    </w:p>
    <w:p>
      <w:pPr>
        <w:pStyle w:val="11"/>
      </w:pPr>
      <w:r>
        <w:rPr>
          <w:rFonts w:hint="eastAsia"/>
        </w:rPr>
        <w:t>重点审查结构要求、地基基础、结构处理、载荷计算等设计内容是否达到相关规定的深度要求，是否与设计图纸相一致；设计依据是否充分；设备选型及材料是否合理等。</w:t>
      </w:r>
    </w:p>
    <w:p>
      <w:pPr>
        <w:pStyle w:val="28"/>
        <w:spacing w:before="156" w:after="156"/>
        <w:rPr>
          <w:rFonts w:hint="eastAsia"/>
        </w:rPr>
      </w:pPr>
      <w:r>
        <w:rPr>
          <w:rFonts w:hint="eastAsia"/>
        </w:rPr>
        <w:t>给排水设计</w:t>
      </w:r>
    </w:p>
    <w:p>
      <w:pPr>
        <w:pStyle w:val="11"/>
      </w:pPr>
      <w:r>
        <w:rPr>
          <w:rFonts w:hint="eastAsia"/>
        </w:rPr>
        <w:t>重点审查给水系统、热水系统、排水系统等设计内容是否达到相关规定的深度要求，是否与设计图相一致；设计依据是否充分；设备选型、管材及管径选取是否合理等。</w:t>
      </w:r>
    </w:p>
    <w:p>
      <w:pPr>
        <w:pStyle w:val="28"/>
        <w:spacing w:before="156" w:after="156"/>
        <w:rPr>
          <w:rFonts w:hint="eastAsia"/>
        </w:rPr>
      </w:pPr>
      <w:r>
        <w:rPr>
          <w:rFonts w:hint="eastAsia"/>
        </w:rPr>
        <w:t>暖通空调</w:t>
      </w:r>
    </w:p>
    <w:p>
      <w:pPr>
        <w:pStyle w:val="11"/>
      </w:pPr>
      <w:r>
        <w:rPr>
          <w:rFonts w:hint="eastAsia"/>
        </w:rPr>
        <w:t>重点审查采暖系统、空调系统、通风系统等设计内容是否达到相关规定的深度要求，系统形式及参数设计是否合理，是否与设计图纸相一致；设计依据是否充分；设备选型及管道铺设是否符合规范、标准等。</w:t>
      </w:r>
    </w:p>
    <w:p>
      <w:pPr>
        <w:pStyle w:val="28"/>
        <w:spacing w:before="156" w:after="156"/>
        <w:rPr>
          <w:rFonts w:hint="eastAsia"/>
        </w:rPr>
      </w:pPr>
      <w:r>
        <w:rPr>
          <w:rFonts w:hint="eastAsia"/>
        </w:rPr>
        <w:t>电气设计</w:t>
      </w:r>
    </w:p>
    <w:p>
      <w:pPr>
        <w:pStyle w:val="11"/>
      </w:pPr>
      <w:r>
        <w:rPr>
          <w:rFonts w:hint="eastAsia"/>
        </w:rPr>
        <w:t>重点审查供电电源、用电负荷、输配电系统、电</w:t>
      </w:r>
      <w:r>
        <w:rPr>
          <w:rFonts w:hint="eastAsia"/>
          <w:lang w:val="en-US" w:eastAsia="zh-CN"/>
        </w:rPr>
        <w:t>气</w:t>
      </w:r>
      <w:r>
        <w:rPr>
          <w:rFonts w:hint="eastAsia"/>
        </w:rPr>
        <w:t>智能化、安全防护等设计内容是否达到相关规定的深度要求，是否与设计图纸相一致；设计依据是否充分；负荷计算方法及计算结果是否准确；设备选型及线路布置是否符合规范、标准等。</w:t>
      </w:r>
    </w:p>
    <w:p>
      <w:pPr>
        <w:pStyle w:val="28"/>
        <w:spacing w:before="156" w:after="156"/>
      </w:pPr>
      <w:r>
        <w:rPr>
          <w:rFonts w:hint="eastAsia"/>
        </w:rPr>
        <w:t>消防设计</w:t>
      </w:r>
    </w:p>
    <w:p>
      <w:pPr>
        <w:pStyle w:val="11"/>
      </w:pPr>
      <w:r>
        <w:rPr>
          <w:rFonts w:hint="eastAsia"/>
        </w:rPr>
        <w:t>重点审查建筑消防、电气消防、消防水系统、暖通消防等设计内容是否达到相关规定的深度要求；消防供电电源、火灾自动报警系统、自动喷水灭火系统等技术参数是否合理；是否满足消防规范、标准等。</w:t>
      </w:r>
    </w:p>
    <w:p>
      <w:pPr>
        <w:numPr>
          <w:ilvl w:val="2"/>
          <w:numId w:val="5"/>
        </w:numPr>
        <w:wordWrap w:val="0"/>
        <w:overflowPunct w:val="0"/>
        <w:autoSpaceDE w:val="0"/>
        <w:autoSpaceDN w:val="0"/>
        <w:spacing w:before="156" w:beforeLines="50" w:after="156" w:afterLines="50"/>
        <w:textAlignment w:val="baseline"/>
        <w:outlineLvl w:val="2"/>
        <w:rPr>
          <w:rFonts w:hint="eastAsia" w:ascii="黑体" w:eastAsia="黑体"/>
          <w:kern w:val="21"/>
        </w:rPr>
      </w:pPr>
      <w:r>
        <w:rPr>
          <w:rFonts w:hint="eastAsia" w:ascii="黑体" w:eastAsia="黑体"/>
          <w:kern w:val="21"/>
        </w:rPr>
        <w:t>项目概算评估</w:t>
      </w:r>
    </w:p>
    <w:p>
      <w:pPr>
        <w:pStyle w:val="27"/>
        <w:rPr>
          <w:rFonts w:hint="eastAsia"/>
        </w:rPr>
      </w:pPr>
      <w:r>
        <w:rPr>
          <w:rFonts w:hint="eastAsia"/>
        </w:rPr>
        <w:t>重点审查编制依据是否符合国家有关建设和造价管理的法律、法规和政策要求；计算依据是否满足国家及当地定额部门的有关规定。</w:t>
      </w:r>
    </w:p>
    <w:p>
      <w:pPr>
        <w:pStyle w:val="27"/>
        <w:rPr>
          <w:rFonts w:hint="eastAsia"/>
        </w:rPr>
      </w:pPr>
      <w:r>
        <w:rPr>
          <w:rFonts w:hint="eastAsia"/>
        </w:rPr>
        <w:t>重点审查编制内容是否完整，是否有漏项，是否与项目建设内容和图纸一致。</w:t>
      </w:r>
    </w:p>
    <w:p>
      <w:pPr>
        <w:pStyle w:val="27"/>
        <w:rPr>
          <w:rFonts w:hint="eastAsia"/>
        </w:rPr>
      </w:pPr>
      <w:r>
        <w:rPr>
          <w:rFonts w:hint="eastAsia"/>
        </w:rPr>
        <w:t>重点审查总概算编制是否与单项工程综合概算表中的数据一致；单位工程概算书、工程量计算是否正确，工程取费是否合理。</w:t>
      </w:r>
    </w:p>
    <w:p>
      <w:pPr>
        <w:pStyle w:val="27"/>
        <w:rPr>
          <w:rFonts w:hint="eastAsia"/>
        </w:rPr>
      </w:pPr>
      <w:r>
        <w:rPr>
          <w:rFonts w:hint="eastAsia"/>
        </w:rPr>
        <w:t>重点审查初步设计概算的调整量是否在可行性研究报告批复投资额的10%内。</w:t>
      </w:r>
    </w:p>
    <w:p>
      <w:pPr>
        <w:numPr>
          <w:ilvl w:val="2"/>
          <w:numId w:val="5"/>
        </w:numPr>
        <w:wordWrap w:val="0"/>
        <w:overflowPunct w:val="0"/>
        <w:autoSpaceDE w:val="0"/>
        <w:autoSpaceDN w:val="0"/>
        <w:spacing w:before="156" w:beforeLines="50" w:after="156" w:afterLines="50"/>
        <w:textAlignment w:val="baseline"/>
        <w:outlineLvl w:val="2"/>
        <w:rPr>
          <w:rFonts w:ascii="黑体" w:eastAsia="黑体"/>
          <w:kern w:val="21"/>
        </w:rPr>
      </w:pPr>
      <w:r>
        <w:rPr>
          <w:rFonts w:hint="eastAsia" w:ascii="黑体" w:eastAsia="黑体"/>
          <w:kern w:val="21"/>
        </w:rPr>
        <w:t>项目评估依据</w:t>
      </w:r>
    </w:p>
    <w:p>
      <w:pPr>
        <w:pStyle w:val="27"/>
      </w:pPr>
      <w:r>
        <w:rPr>
          <w:rFonts w:hint="eastAsia"/>
        </w:rPr>
        <w:t>项目可行性研究报告批复文件及附件。</w:t>
      </w:r>
    </w:p>
    <w:p>
      <w:pPr>
        <w:pStyle w:val="27"/>
        <w:rPr>
          <w:rFonts w:hint="eastAsia"/>
        </w:rPr>
      </w:pPr>
      <w:r>
        <w:rPr>
          <w:rFonts w:hint="eastAsia"/>
        </w:rPr>
        <w:t>现行建筑工程设计文件的编制深度要求等文件。</w:t>
      </w:r>
    </w:p>
    <w:p>
      <w:pPr>
        <w:pStyle w:val="27"/>
      </w:pPr>
      <w:r>
        <w:t>现行（最新）设计规范、规程、标准、规定等。</w:t>
      </w:r>
    </w:p>
    <w:p>
      <w:pPr>
        <w:pStyle w:val="27"/>
      </w:pPr>
      <w:r>
        <w:rPr>
          <w:rFonts w:hint="eastAsia"/>
        </w:rPr>
        <w:t>现行工程概算定额、其他费用定额及收费文件。</w:t>
      </w:r>
    </w:p>
    <w:p>
      <w:pPr>
        <w:pStyle w:val="27"/>
      </w:pPr>
      <w:r>
        <w:t>其他相关文件。</w:t>
      </w:r>
    </w:p>
    <w:p>
      <w:pPr>
        <w:pStyle w:val="27"/>
      </w:pPr>
      <w:r>
        <w:rPr>
          <w:rFonts w:hint="eastAsia"/>
        </w:rPr>
        <w:t>编制单位相关专业设计资质。</w:t>
      </w:r>
    </w:p>
    <w:p>
      <w:pPr>
        <w:pStyle w:val="25"/>
        <w:spacing w:before="312" w:after="312"/>
      </w:pPr>
      <w:r>
        <w:rPr>
          <w:rFonts w:hint="eastAsia"/>
        </w:rPr>
        <w:t>调整概算</w:t>
      </w:r>
    </w:p>
    <w:p>
      <w:pPr>
        <w:numPr>
          <w:ilvl w:val="2"/>
          <w:numId w:val="5"/>
        </w:numPr>
        <w:wordWrap w:val="0"/>
        <w:overflowPunct w:val="0"/>
        <w:autoSpaceDE w:val="0"/>
        <w:autoSpaceDN w:val="0"/>
        <w:spacing w:before="156" w:beforeLines="50" w:after="156" w:afterLines="50"/>
        <w:textAlignment w:val="baseline"/>
        <w:outlineLvl w:val="2"/>
        <w:rPr>
          <w:rFonts w:hint="eastAsia" w:ascii="黑体" w:eastAsia="黑体"/>
          <w:kern w:val="21"/>
        </w:rPr>
      </w:pPr>
      <w:r>
        <w:rPr>
          <w:rFonts w:hint="eastAsia" w:ascii="黑体" w:eastAsia="黑体"/>
          <w:kern w:val="21"/>
        </w:rPr>
        <w:t>评估前期工作</w:t>
      </w:r>
    </w:p>
    <w:p>
      <w:pPr>
        <w:pStyle w:val="27"/>
        <w:rPr>
          <w:rFonts w:hint="eastAsia"/>
        </w:rPr>
      </w:pPr>
      <w:r>
        <w:rPr>
          <w:rFonts w:hint="eastAsia"/>
        </w:rPr>
        <w:t>了解超概算的幅度、原因等情况。</w:t>
      </w:r>
    </w:p>
    <w:p>
      <w:pPr>
        <w:pStyle w:val="27"/>
        <w:rPr>
          <w:rFonts w:hint="eastAsia"/>
        </w:rPr>
      </w:pPr>
      <w:r>
        <w:rPr>
          <w:rFonts w:hint="eastAsia"/>
        </w:rPr>
        <w:t>踏勘现场、查看建设情况，建设内容、建设标准是否与原初步设计一致。</w:t>
      </w:r>
    </w:p>
    <w:p>
      <w:pPr>
        <w:pStyle w:val="27"/>
      </w:pPr>
      <w:r>
        <w:rPr>
          <w:rFonts w:hint="eastAsia"/>
        </w:rPr>
        <w:t>收集评审调整概算的相关资料。</w:t>
      </w:r>
    </w:p>
    <w:p>
      <w:pPr>
        <w:numPr>
          <w:ilvl w:val="2"/>
          <w:numId w:val="5"/>
        </w:numPr>
        <w:wordWrap w:val="0"/>
        <w:overflowPunct w:val="0"/>
        <w:autoSpaceDE w:val="0"/>
        <w:autoSpaceDN w:val="0"/>
        <w:spacing w:before="156" w:beforeLines="50" w:after="156" w:afterLines="50"/>
        <w:textAlignment w:val="baseline"/>
        <w:outlineLvl w:val="2"/>
        <w:rPr>
          <w:rFonts w:hint="eastAsia" w:ascii="黑体" w:eastAsia="黑体"/>
          <w:kern w:val="21"/>
        </w:rPr>
      </w:pPr>
      <w:r>
        <w:rPr>
          <w:rFonts w:hint="eastAsia" w:ascii="黑体" w:eastAsia="黑体"/>
          <w:kern w:val="21"/>
        </w:rPr>
        <w:t>评估所需资料</w:t>
      </w:r>
    </w:p>
    <w:p>
      <w:pPr>
        <w:pStyle w:val="11"/>
      </w:pPr>
      <w:r>
        <w:rPr>
          <w:rFonts w:hint="eastAsia"/>
        </w:rPr>
        <w:t>评估所需资料如下：</w:t>
      </w:r>
    </w:p>
    <w:p>
      <w:pPr>
        <w:numPr>
          <w:ilvl w:val="0"/>
          <w:numId w:val="18"/>
        </w:numPr>
        <w:rPr>
          <w:rFonts w:hint="eastAsia" w:ascii="宋体"/>
        </w:rPr>
      </w:pPr>
      <w:r>
        <w:rPr>
          <w:rFonts w:hint="eastAsia" w:ascii="宋体"/>
        </w:rPr>
        <w:t>初步设计批复文件及概算书（含电子版）；</w:t>
      </w:r>
    </w:p>
    <w:p>
      <w:pPr>
        <w:numPr>
          <w:ilvl w:val="0"/>
          <w:numId w:val="18"/>
        </w:numPr>
        <w:rPr>
          <w:rFonts w:hint="eastAsia" w:ascii="宋体"/>
        </w:rPr>
      </w:pPr>
      <w:r>
        <w:rPr>
          <w:rFonts w:hint="eastAsia" w:ascii="宋体"/>
        </w:rPr>
        <w:t>调整概算书（含电子版）；</w:t>
      </w:r>
    </w:p>
    <w:p>
      <w:pPr>
        <w:numPr>
          <w:ilvl w:val="0"/>
          <w:numId w:val="18"/>
        </w:numPr>
        <w:rPr>
          <w:rFonts w:hint="eastAsia" w:ascii="宋体"/>
        </w:rPr>
      </w:pPr>
      <w:r>
        <w:rPr>
          <w:rFonts w:hint="eastAsia" w:ascii="宋体"/>
        </w:rPr>
        <w:t>招投标文件；</w:t>
      </w:r>
    </w:p>
    <w:p>
      <w:pPr>
        <w:numPr>
          <w:ilvl w:val="0"/>
          <w:numId w:val="18"/>
        </w:numPr>
        <w:rPr>
          <w:rFonts w:ascii="宋体"/>
        </w:rPr>
      </w:pPr>
      <w:r>
        <w:rPr>
          <w:rFonts w:hint="eastAsia" w:ascii="宋体"/>
        </w:rPr>
        <w:t>施工合同、设备及材料采购合同、勘察设计合同、施工监理合同、征用土地及补偿合同、拆迁合同等；</w:t>
      </w:r>
    </w:p>
    <w:p>
      <w:pPr>
        <w:numPr>
          <w:ilvl w:val="0"/>
          <w:numId w:val="18"/>
        </w:numPr>
        <w:rPr>
          <w:rFonts w:ascii="宋体"/>
        </w:rPr>
      </w:pPr>
      <w:r>
        <w:rPr>
          <w:rFonts w:hint="eastAsia" w:ascii="宋体"/>
        </w:rPr>
        <w:t>施工图、变更签证、涉及工程造价的会议纪要或协议；</w:t>
      </w:r>
    </w:p>
    <w:p>
      <w:pPr>
        <w:numPr>
          <w:ilvl w:val="0"/>
          <w:numId w:val="18"/>
        </w:numPr>
        <w:rPr>
          <w:rFonts w:ascii="宋体"/>
        </w:rPr>
      </w:pPr>
      <w:r>
        <w:rPr>
          <w:rFonts w:hint="eastAsia" w:ascii="宋体"/>
        </w:rPr>
        <w:t>工程预算或结算书；</w:t>
      </w:r>
    </w:p>
    <w:p>
      <w:pPr>
        <w:numPr>
          <w:ilvl w:val="0"/>
          <w:numId w:val="18"/>
        </w:numPr>
        <w:rPr>
          <w:rFonts w:ascii="宋体"/>
        </w:rPr>
      </w:pPr>
      <w:r>
        <w:rPr>
          <w:rFonts w:hint="eastAsia" w:ascii="宋体"/>
        </w:rPr>
        <w:t>其他费用支出明细表；</w:t>
      </w:r>
    </w:p>
    <w:p>
      <w:pPr>
        <w:numPr>
          <w:ilvl w:val="0"/>
          <w:numId w:val="18"/>
        </w:numPr>
        <w:rPr>
          <w:rFonts w:ascii="宋体"/>
        </w:rPr>
      </w:pPr>
      <w:r>
        <w:rPr>
          <w:rFonts w:hint="eastAsia" w:ascii="宋体"/>
        </w:rPr>
        <w:t>工程进度情况说明；</w:t>
      </w:r>
    </w:p>
    <w:p>
      <w:pPr>
        <w:numPr>
          <w:ilvl w:val="0"/>
          <w:numId w:val="18"/>
        </w:numPr>
        <w:rPr>
          <w:rFonts w:ascii="宋体"/>
        </w:rPr>
      </w:pPr>
      <w:r>
        <w:rPr>
          <w:rFonts w:hint="eastAsia" w:ascii="宋体"/>
        </w:rPr>
        <w:t>资金使用情况说明。</w:t>
      </w:r>
    </w:p>
    <w:p>
      <w:pPr>
        <w:numPr>
          <w:ilvl w:val="2"/>
          <w:numId w:val="5"/>
        </w:numPr>
        <w:wordWrap w:val="0"/>
        <w:overflowPunct w:val="0"/>
        <w:autoSpaceDE w:val="0"/>
        <w:autoSpaceDN w:val="0"/>
        <w:spacing w:before="156" w:beforeLines="50" w:after="156" w:afterLines="50"/>
        <w:textAlignment w:val="baseline"/>
        <w:outlineLvl w:val="2"/>
        <w:rPr>
          <w:rFonts w:ascii="黑体" w:eastAsia="黑体"/>
          <w:kern w:val="21"/>
        </w:rPr>
      </w:pPr>
      <w:r>
        <w:rPr>
          <w:rFonts w:hint="eastAsia" w:ascii="黑体" w:eastAsia="黑体"/>
          <w:kern w:val="21"/>
        </w:rPr>
        <w:t>评估要点</w:t>
      </w:r>
    </w:p>
    <w:p>
      <w:pPr>
        <w:pStyle w:val="27"/>
        <w:rPr>
          <w:rFonts w:hint="eastAsia"/>
        </w:rPr>
      </w:pPr>
      <w:r>
        <w:rPr>
          <w:rFonts w:hint="eastAsia"/>
          <w:b/>
          <w:bCs/>
        </w:rPr>
        <w:t>项目建设范围的评估：</w:t>
      </w:r>
      <w:r>
        <w:rPr>
          <w:rFonts w:hint="eastAsia"/>
        </w:rPr>
        <w:t>主要审核与原批概算相比，建设规模、建设内容、建设标准有无变化，变化部分有无相关审批文件。</w:t>
      </w:r>
    </w:p>
    <w:p>
      <w:pPr>
        <w:pStyle w:val="27"/>
        <w:rPr>
          <w:rFonts w:hint="eastAsia"/>
        </w:rPr>
      </w:pPr>
      <w:r>
        <w:rPr>
          <w:rFonts w:hint="eastAsia"/>
          <w:b/>
          <w:bCs/>
        </w:rPr>
        <w:t>工程量的评估：</w:t>
      </w:r>
      <w:r>
        <w:rPr>
          <w:rFonts w:hint="eastAsia"/>
        </w:rPr>
        <w:t>对影响造价较大的工程量进行复核，查看这部分工程量是否准确，是否与施工图纸、设计变更、现场签证一致。</w:t>
      </w:r>
    </w:p>
    <w:p>
      <w:pPr>
        <w:pStyle w:val="27"/>
        <w:rPr>
          <w:rFonts w:hint="eastAsia"/>
        </w:rPr>
      </w:pPr>
      <w:r>
        <w:rPr>
          <w:rFonts w:hint="eastAsia"/>
          <w:b/>
          <w:bCs/>
        </w:rPr>
        <w:t>人材机价格的评估：</w:t>
      </w:r>
      <w:r>
        <w:rPr>
          <w:rFonts w:hint="eastAsia"/>
        </w:rPr>
        <w:t>查看人工、材料、机械价格取定是否合理，价差调整方式是否符合相关规定。</w:t>
      </w:r>
    </w:p>
    <w:p>
      <w:pPr>
        <w:pStyle w:val="27"/>
      </w:pPr>
      <w:r>
        <w:rPr>
          <w:rFonts w:hint="eastAsia"/>
          <w:b/>
          <w:bCs/>
        </w:rPr>
        <w:t>措施费的评估：</w:t>
      </w:r>
      <w:r>
        <w:rPr>
          <w:rFonts w:hint="eastAsia"/>
        </w:rPr>
        <w:t>查看调整概算计取的措施项目费用是否齐全、合规合理。</w:t>
      </w:r>
    </w:p>
    <w:p>
      <w:pPr>
        <w:pStyle w:val="27"/>
      </w:pPr>
      <w:r>
        <w:rPr>
          <w:rFonts w:hint="eastAsia"/>
          <w:b/>
          <w:bCs/>
        </w:rPr>
        <w:t>工程建设其他费的评估：</w:t>
      </w:r>
      <w:r>
        <w:rPr>
          <w:rFonts w:hint="eastAsia"/>
        </w:rPr>
        <w:t>审核是否按国家、省市有关规定列项，费用标准是否符合国家、行业有关部门的规定；费用计取依据是否充分，有无重复计取情况。</w:t>
      </w:r>
    </w:p>
    <w:p>
      <w:pPr>
        <w:numPr>
          <w:ilvl w:val="2"/>
          <w:numId w:val="5"/>
        </w:numPr>
        <w:wordWrap w:val="0"/>
        <w:overflowPunct w:val="0"/>
        <w:autoSpaceDE w:val="0"/>
        <w:autoSpaceDN w:val="0"/>
        <w:spacing w:before="156" w:beforeLines="50" w:after="156" w:afterLines="50"/>
        <w:textAlignment w:val="baseline"/>
        <w:outlineLvl w:val="2"/>
        <w:rPr>
          <w:rFonts w:hint="eastAsia" w:ascii="黑体" w:eastAsia="黑体"/>
          <w:kern w:val="21"/>
        </w:rPr>
      </w:pPr>
      <w:r>
        <w:rPr>
          <w:rFonts w:hint="eastAsia" w:ascii="黑体" w:eastAsia="黑体"/>
          <w:kern w:val="21"/>
        </w:rPr>
        <w:t>评估前置条件</w:t>
      </w:r>
    </w:p>
    <w:p>
      <w:pPr>
        <w:pStyle w:val="27"/>
        <w:rPr>
          <w:rFonts w:hint="eastAsia"/>
        </w:rPr>
      </w:pPr>
      <w:r>
        <w:rPr>
          <w:rFonts w:hint="eastAsia"/>
        </w:rPr>
        <w:t>调整理由是否符合有关文件规定列举的因素。</w:t>
      </w:r>
    </w:p>
    <w:p>
      <w:pPr>
        <w:pStyle w:val="27"/>
        <w:rPr>
          <w:rFonts w:hint="eastAsia"/>
        </w:rPr>
      </w:pPr>
      <w:r>
        <w:rPr>
          <w:rFonts w:hint="eastAsia"/>
        </w:rPr>
        <w:t>项目形象进度是否超过85%；超批复概算10%以上，原则上先审计后调整。</w:t>
      </w:r>
    </w:p>
    <w:p>
      <w:pPr>
        <w:pStyle w:val="27"/>
        <w:rPr>
          <w:rFonts w:hint="eastAsia"/>
        </w:rPr>
      </w:pPr>
      <w:r>
        <w:rPr>
          <w:rFonts w:hint="eastAsia"/>
        </w:rPr>
        <w:t>调整概算书格式及内容是否符合行业主管部门颁布的相应文件规定。</w:t>
      </w:r>
    </w:p>
    <w:p>
      <w:pPr>
        <w:pStyle w:val="27"/>
        <w:rPr>
          <w:rFonts w:hint="eastAsia"/>
        </w:rPr>
      </w:pPr>
      <w:r>
        <w:rPr>
          <w:rFonts w:hint="eastAsia"/>
        </w:rPr>
        <w:t>应符合履行招投标程序。</w:t>
      </w:r>
    </w:p>
    <w:p>
      <w:pPr>
        <w:pStyle w:val="11"/>
        <w:rPr>
          <w:rFonts w:hint="eastAsia"/>
        </w:rPr>
      </w:pPr>
    </w:p>
    <w:p>
      <w:pPr>
        <w:pStyle w:val="21"/>
      </w:pPr>
    </w:p>
    <w:p>
      <w:pPr>
        <w:pStyle w:val="22"/>
      </w:pPr>
    </w:p>
    <w:p>
      <w:pPr>
        <w:pStyle w:val="23"/>
      </w:pPr>
      <w:bookmarkStart w:id="107" w:name="_Toc28645"/>
      <w:bookmarkStart w:id="108" w:name="_Toc18620"/>
      <w:bookmarkStart w:id="109" w:name="_Toc10657"/>
      <w:bookmarkStart w:id="110" w:name="_Toc28453"/>
      <w:bookmarkStart w:id="111" w:name="_Toc23879"/>
      <w:bookmarkStart w:id="112" w:name="_Toc19304"/>
      <w:bookmarkStart w:id="113" w:name="_Toc19773"/>
      <w:r>
        <w:br w:type="textWrapping"/>
      </w:r>
      <w:bookmarkStart w:id="114" w:name="_Toc111556053"/>
      <w:bookmarkStart w:id="115" w:name="_Toc107473232"/>
      <w:bookmarkStart w:id="116" w:name="_Toc107473435"/>
      <w:r>
        <w:rPr>
          <w:rFonts w:hint="eastAsia"/>
        </w:rPr>
        <w:t>（规范性）</w:t>
      </w:r>
      <w:r>
        <w:rPr>
          <w:rFonts w:hint="eastAsia"/>
        </w:rPr>
        <w:br w:type="textWrapping"/>
      </w:r>
      <w:bookmarkEnd w:id="107"/>
      <w:bookmarkEnd w:id="108"/>
      <w:bookmarkEnd w:id="109"/>
      <w:bookmarkEnd w:id="110"/>
      <w:bookmarkEnd w:id="111"/>
      <w:bookmarkEnd w:id="112"/>
      <w:bookmarkEnd w:id="113"/>
      <w:bookmarkStart w:id="117" w:name="_Toc13793"/>
      <w:r>
        <w:rPr>
          <w:rFonts w:hint="eastAsia"/>
        </w:rPr>
        <w:t>项目评估会签到册</w:t>
      </w:r>
      <w:bookmarkEnd w:id="114"/>
      <w:bookmarkEnd w:id="115"/>
      <w:bookmarkEnd w:id="116"/>
      <w:bookmarkEnd w:id="117"/>
    </w:p>
    <w:p>
      <w:pPr>
        <w:pStyle w:val="11"/>
        <w:ind w:firstLine="0" w:firstLineChars="0"/>
        <w:jc w:val="center"/>
        <w:rPr>
          <w:rFonts w:ascii="黑体" w:hAnsi="黑体" w:eastAsia="黑体" w:cs="黑体"/>
          <w:sz w:val="44"/>
          <w:szCs w:val="44"/>
        </w:rPr>
      </w:pPr>
      <w:r>
        <w:rPr>
          <w:rFonts w:hint="eastAsia" w:ascii="黑体" w:hAnsi="黑体" w:eastAsia="黑体" w:cs="黑体"/>
          <w:sz w:val="44"/>
          <w:szCs w:val="44"/>
        </w:rPr>
        <w:t>项目评估会签到册</w:t>
      </w:r>
    </w:p>
    <w:p>
      <w:pPr>
        <w:pStyle w:val="11"/>
        <w:ind w:firstLine="0" w:firstLineChars="0"/>
        <w:rPr>
          <w:rFonts w:hint="eastAsia"/>
          <w:szCs w:val="24"/>
        </w:rPr>
      </w:pPr>
      <w:r>
        <w:rPr>
          <w:rFonts w:hint="eastAsia"/>
          <w:szCs w:val="24"/>
        </w:rPr>
        <w:t>项目名称：</w:t>
      </w:r>
    </w:p>
    <w:p>
      <w:pPr>
        <w:pStyle w:val="11"/>
        <w:ind w:firstLine="0" w:firstLineChars="0"/>
        <w:rPr>
          <w:rFonts w:hint="eastAsia"/>
          <w:szCs w:val="24"/>
        </w:rPr>
      </w:pPr>
      <w:r>
        <w:rPr>
          <w:rFonts w:hint="eastAsia"/>
          <w:szCs w:val="24"/>
        </w:rPr>
        <w:t>地点：                                                            时间：     年   月   日</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67"/>
        <w:gridCol w:w="1367"/>
        <w:gridCol w:w="1367"/>
        <w:gridCol w:w="1367"/>
        <w:gridCol w:w="1367"/>
        <w:gridCol w:w="1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tcBorders>
              <w:bottom w:val="single" w:color="auto" w:sz="8" w:space="0"/>
            </w:tcBorders>
            <w:noWrap w:val="0"/>
            <w:vAlign w:val="top"/>
          </w:tcPr>
          <w:p>
            <w:pPr>
              <w:jc w:val="center"/>
              <w:rPr>
                <w:sz w:val="18"/>
              </w:rPr>
            </w:pPr>
            <w:r>
              <w:rPr>
                <w:rFonts w:hint="eastAsia"/>
                <w:sz w:val="18"/>
              </w:rPr>
              <w:t>序号</w:t>
            </w:r>
          </w:p>
        </w:tc>
        <w:tc>
          <w:tcPr>
            <w:tcW w:w="1367" w:type="dxa"/>
            <w:tcBorders>
              <w:bottom w:val="single" w:color="auto" w:sz="8" w:space="0"/>
            </w:tcBorders>
            <w:noWrap w:val="0"/>
            <w:vAlign w:val="top"/>
          </w:tcPr>
          <w:p>
            <w:pPr>
              <w:jc w:val="center"/>
              <w:rPr>
                <w:sz w:val="18"/>
              </w:rPr>
            </w:pPr>
            <w:r>
              <w:rPr>
                <w:rFonts w:hint="eastAsia"/>
                <w:sz w:val="18"/>
              </w:rPr>
              <w:t>姓名</w:t>
            </w:r>
          </w:p>
        </w:tc>
        <w:tc>
          <w:tcPr>
            <w:tcW w:w="1367" w:type="dxa"/>
            <w:tcBorders>
              <w:bottom w:val="single" w:color="auto" w:sz="8" w:space="0"/>
            </w:tcBorders>
            <w:noWrap w:val="0"/>
            <w:vAlign w:val="top"/>
          </w:tcPr>
          <w:p>
            <w:pPr>
              <w:jc w:val="center"/>
              <w:rPr>
                <w:sz w:val="18"/>
              </w:rPr>
            </w:pPr>
            <w:r>
              <w:rPr>
                <w:rFonts w:hint="eastAsia"/>
                <w:sz w:val="18"/>
              </w:rPr>
              <w:t>单位</w:t>
            </w:r>
          </w:p>
        </w:tc>
        <w:tc>
          <w:tcPr>
            <w:tcW w:w="1367" w:type="dxa"/>
            <w:tcBorders>
              <w:bottom w:val="single" w:color="auto" w:sz="8" w:space="0"/>
            </w:tcBorders>
            <w:noWrap w:val="0"/>
            <w:vAlign w:val="top"/>
          </w:tcPr>
          <w:p>
            <w:pPr>
              <w:jc w:val="center"/>
              <w:rPr>
                <w:sz w:val="18"/>
              </w:rPr>
            </w:pPr>
            <w:r>
              <w:rPr>
                <w:rFonts w:hint="eastAsia"/>
                <w:sz w:val="18"/>
              </w:rPr>
              <w:t>专业</w:t>
            </w:r>
          </w:p>
        </w:tc>
        <w:tc>
          <w:tcPr>
            <w:tcW w:w="1367" w:type="dxa"/>
            <w:tcBorders>
              <w:bottom w:val="single" w:color="auto" w:sz="8" w:space="0"/>
            </w:tcBorders>
            <w:noWrap w:val="0"/>
            <w:vAlign w:val="top"/>
          </w:tcPr>
          <w:p>
            <w:pPr>
              <w:jc w:val="center"/>
              <w:rPr>
                <w:sz w:val="18"/>
              </w:rPr>
            </w:pPr>
            <w:r>
              <w:rPr>
                <w:rFonts w:hint="eastAsia"/>
                <w:sz w:val="18"/>
              </w:rPr>
              <w:t>职务及职称</w:t>
            </w:r>
          </w:p>
        </w:tc>
        <w:tc>
          <w:tcPr>
            <w:tcW w:w="1367" w:type="dxa"/>
            <w:tcBorders>
              <w:bottom w:val="single" w:color="auto" w:sz="8" w:space="0"/>
            </w:tcBorders>
            <w:noWrap w:val="0"/>
            <w:vAlign w:val="top"/>
          </w:tcPr>
          <w:p>
            <w:pPr>
              <w:jc w:val="center"/>
              <w:rPr>
                <w:sz w:val="18"/>
              </w:rPr>
            </w:pPr>
            <w:r>
              <w:rPr>
                <w:rFonts w:hint="eastAsia"/>
                <w:sz w:val="18"/>
              </w:rPr>
              <w:t>联系电话</w:t>
            </w:r>
          </w:p>
        </w:tc>
        <w:tc>
          <w:tcPr>
            <w:tcW w:w="1368" w:type="dxa"/>
            <w:tcBorders>
              <w:bottom w:val="single" w:color="auto" w:sz="8" w:space="0"/>
            </w:tcBorders>
            <w:noWrap w:val="0"/>
            <w:vAlign w:val="top"/>
          </w:tcPr>
          <w:p>
            <w:pPr>
              <w:jc w:val="center"/>
              <w:rPr>
                <w:sz w:val="18"/>
              </w:rPr>
            </w:pPr>
            <w:r>
              <w:rPr>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tcBorders>
              <w:top w:val="single" w:color="auto" w:sz="8" w:space="0"/>
            </w:tcBorders>
            <w:noWrap w:val="0"/>
            <w:vAlign w:val="top"/>
          </w:tcPr>
          <w:p>
            <w:pPr>
              <w:jc w:val="center"/>
              <w:rPr>
                <w:sz w:val="18"/>
              </w:rPr>
            </w:pPr>
            <w:r>
              <w:rPr>
                <w:rFonts w:hint="eastAsia"/>
                <w:sz w:val="18"/>
              </w:rPr>
              <w:t>1</w:t>
            </w:r>
          </w:p>
        </w:tc>
        <w:tc>
          <w:tcPr>
            <w:tcW w:w="1367" w:type="dxa"/>
            <w:tcBorders>
              <w:top w:val="single" w:color="auto" w:sz="8" w:space="0"/>
            </w:tcBorders>
            <w:noWrap w:val="0"/>
            <w:vAlign w:val="top"/>
          </w:tcPr>
          <w:p>
            <w:pPr>
              <w:rPr>
                <w:sz w:val="18"/>
              </w:rPr>
            </w:pPr>
          </w:p>
        </w:tc>
        <w:tc>
          <w:tcPr>
            <w:tcW w:w="1367" w:type="dxa"/>
            <w:tcBorders>
              <w:top w:val="single" w:color="auto" w:sz="8" w:space="0"/>
            </w:tcBorders>
            <w:noWrap w:val="0"/>
            <w:vAlign w:val="top"/>
          </w:tcPr>
          <w:p>
            <w:pPr>
              <w:rPr>
                <w:sz w:val="18"/>
              </w:rPr>
            </w:pPr>
          </w:p>
        </w:tc>
        <w:tc>
          <w:tcPr>
            <w:tcW w:w="1367" w:type="dxa"/>
            <w:tcBorders>
              <w:top w:val="single" w:color="auto" w:sz="8" w:space="0"/>
            </w:tcBorders>
            <w:noWrap w:val="0"/>
            <w:vAlign w:val="top"/>
          </w:tcPr>
          <w:p>
            <w:pPr>
              <w:rPr>
                <w:sz w:val="18"/>
              </w:rPr>
            </w:pPr>
          </w:p>
        </w:tc>
        <w:tc>
          <w:tcPr>
            <w:tcW w:w="1367" w:type="dxa"/>
            <w:tcBorders>
              <w:top w:val="single" w:color="auto" w:sz="8" w:space="0"/>
            </w:tcBorders>
            <w:noWrap w:val="0"/>
            <w:vAlign w:val="top"/>
          </w:tcPr>
          <w:p>
            <w:pPr>
              <w:rPr>
                <w:sz w:val="18"/>
              </w:rPr>
            </w:pPr>
          </w:p>
        </w:tc>
        <w:tc>
          <w:tcPr>
            <w:tcW w:w="1367" w:type="dxa"/>
            <w:tcBorders>
              <w:top w:val="single" w:color="auto" w:sz="8" w:space="0"/>
            </w:tcBorders>
            <w:noWrap w:val="0"/>
            <w:vAlign w:val="top"/>
          </w:tcPr>
          <w:p>
            <w:pPr>
              <w:rPr>
                <w:sz w:val="18"/>
              </w:rPr>
            </w:pPr>
          </w:p>
        </w:tc>
        <w:tc>
          <w:tcPr>
            <w:tcW w:w="1368" w:type="dxa"/>
            <w:tcBorders>
              <w:top w:val="single" w:color="auto" w:sz="8" w:space="0"/>
            </w:tcBorders>
            <w:noWrap w:val="0"/>
            <w:vAlign w:val="top"/>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jc w:val="center"/>
              <w:rPr>
                <w:sz w:val="18"/>
              </w:rPr>
            </w:pPr>
            <w:r>
              <w:rPr>
                <w:rFonts w:hint="eastAsia"/>
                <w:sz w:val="18"/>
              </w:rPr>
              <w:t>2</w:t>
            </w: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8" w:type="dxa"/>
            <w:noWrap w:val="0"/>
            <w:vAlign w:val="top"/>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jc w:val="center"/>
              <w:rPr>
                <w:sz w:val="18"/>
              </w:rPr>
            </w:pPr>
            <w:r>
              <w:rPr>
                <w:rFonts w:hint="eastAsia"/>
                <w:sz w:val="18"/>
              </w:rPr>
              <w:t>3</w:t>
            </w: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8" w:type="dxa"/>
            <w:noWrap w:val="0"/>
            <w:vAlign w:val="top"/>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jc w:val="center"/>
              <w:rPr>
                <w:sz w:val="18"/>
              </w:rPr>
            </w:pPr>
            <w:r>
              <w:rPr>
                <w:rFonts w:hint="eastAsia"/>
                <w:sz w:val="18"/>
              </w:rPr>
              <w:t>4</w:t>
            </w: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8" w:type="dxa"/>
            <w:noWrap w:val="0"/>
            <w:vAlign w:val="top"/>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jc w:val="center"/>
              <w:rPr>
                <w:sz w:val="18"/>
              </w:rPr>
            </w:pPr>
            <w:r>
              <w:rPr>
                <w:rFonts w:hint="eastAsia"/>
                <w:sz w:val="18"/>
              </w:rPr>
              <w:t>5</w:t>
            </w: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8" w:type="dxa"/>
            <w:noWrap w:val="0"/>
            <w:vAlign w:val="top"/>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jc w:val="center"/>
              <w:rPr>
                <w:sz w:val="18"/>
              </w:rPr>
            </w:pPr>
            <w:r>
              <w:rPr>
                <w:rFonts w:hint="eastAsia"/>
                <w:sz w:val="18"/>
              </w:rPr>
              <w:t>6</w:t>
            </w: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8" w:type="dxa"/>
            <w:noWrap w:val="0"/>
            <w:vAlign w:val="top"/>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jc w:val="center"/>
              <w:rPr>
                <w:sz w:val="18"/>
              </w:rPr>
            </w:pPr>
            <w:r>
              <w:rPr>
                <w:rFonts w:hint="eastAsia"/>
                <w:sz w:val="18"/>
              </w:rPr>
              <w:t>7</w:t>
            </w: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8" w:type="dxa"/>
            <w:noWrap w:val="0"/>
            <w:vAlign w:val="top"/>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jc w:val="center"/>
              <w:rPr>
                <w:sz w:val="18"/>
              </w:rPr>
            </w:pPr>
            <w:r>
              <w:rPr>
                <w:rFonts w:hint="eastAsia"/>
                <w:sz w:val="18"/>
              </w:rPr>
              <w:t>8</w:t>
            </w: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8" w:type="dxa"/>
            <w:noWrap w:val="0"/>
            <w:vAlign w:val="top"/>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noWrap w:val="0"/>
            <w:vAlign w:val="top"/>
          </w:tcPr>
          <w:p>
            <w:pPr>
              <w:jc w:val="center"/>
              <w:rPr>
                <w:sz w:val="18"/>
              </w:rPr>
            </w:pPr>
            <w:r>
              <w:rPr>
                <w:rFonts w:hint="eastAsia"/>
                <w:sz w:val="18"/>
              </w:rPr>
              <w:t>9</w:t>
            </w: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7" w:type="dxa"/>
            <w:noWrap w:val="0"/>
            <w:vAlign w:val="top"/>
          </w:tcPr>
          <w:p>
            <w:pPr>
              <w:rPr>
                <w:sz w:val="18"/>
              </w:rPr>
            </w:pPr>
          </w:p>
        </w:tc>
        <w:tc>
          <w:tcPr>
            <w:tcW w:w="1368" w:type="dxa"/>
            <w:noWrap w:val="0"/>
            <w:vAlign w:val="top"/>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tcBorders>
              <w:bottom w:val="single" w:color="auto" w:sz="8" w:space="0"/>
            </w:tcBorders>
            <w:noWrap w:val="0"/>
            <w:vAlign w:val="top"/>
          </w:tcPr>
          <w:p>
            <w:pPr>
              <w:jc w:val="center"/>
              <w:rPr>
                <w:sz w:val="18"/>
              </w:rPr>
            </w:pPr>
            <w:r>
              <w:rPr>
                <w:rFonts w:hint="eastAsia"/>
                <w:sz w:val="18"/>
              </w:rPr>
              <w:t>10</w:t>
            </w:r>
          </w:p>
        </w:tc>
        <w:tc>
          <w:tcPr>
            <w:tcW w:w="1367" w:type="dxa"/>
            <w:tcBorders>
              <w:bottom w:val="single" w:color="auto" w:sz="8" w:space="0"/>
            </w:tcBorders>
            <w:noWrap w:val="0"/>
            <w:vAlign w:val="top"/>
          </w:tcPr>
          <w:p>
            <w:pPr>
              <w:rPr>
                <w:sz w:val="18"/>
              </w:rPr>
            </w:pPr>
          </w:p>
        </w:tc>
        <w:tc>
          <w:tcPr>
            <w:tcW w:w="1367" w:type="dxa"/>
            <w:tcBorders>
              <w:bottom w:val="single" w:color="auto" w:sz="8" w:space="0"/>
            </w:tcBorders>
            <w:noWrap w:val="0"/>
            <w:vAlign w:val="top"/>
          </w:tcPr>
          <w:p>
            <w:pPr>
              <w:rPr>
                <w:sz w:val="18"/>
              </w:rPr>
            </w:pPr>
          </w:p>
        </w:tc>
        <w:tc>
          <w:tcPr>
            <w:tcW w:w="1367" w:type="dxa"/>
            <w:tcBorders>
              <w:bottom w:val="single" w:color="auto" w:sz="8" w:space="0"/>
            </w:tcBorders>
            <w:noWrap w:val="0"/>
            <w:vAlign w:val="top"/>
          </w:tcPr>
          <w:p>
            <w:pPr>
              <w:rPr>
                <w:sz w:val="18"/>
              </w:rPr>
            </w:pPr>
          </w:p>
        </w:tc>
        <w:tc>
          <w:tcPr>
            <w:tcW w:w="1367" w:type="dxa"/>
            <w:tcBorders>
              <w:bottom w:val="single" w:color="auto" w:sz="8" w:space="0"/>
            </w:tcBorders>
            <w:noWrap w:val="0"/>
            <w:vAlign w:val="top"/>
          </w:tcPr>
          <w:p>
            <w:pPr>
              <w:rPr>
                <w:sz w:val="18"/>
              </w:rPr>
            </w:pPr>
          </w:p>
        </w:tc>
        <w:tc>
          <w:tcPr>
            <w:tcW w:w="1367" w:type="dxa"/>
            <w:tcBorders>
              <w:bottom w:val="single" w:color="auto" w:sz="8" w:space="0"/>
            </w:tcBorders>
            <w:noWrap w:val="0"/>
            <w:vAlign w:val="top"/>
          </w:tcPr>
          <w:p>
            <w:pPr>
              <w:rPr>
                <w:sz w:val="18"/>
              </w:rPr>
            </w:pPr>
          </w:p>
        </w:tc>
        <w:tc>
          <w:tcPr>
            <w:tcW w:w="1368" w:type="dxa"/>
            <w:tcBorders>
              <w:bottom w:val="single" w:color="auto" w:sz="8" w:space="0"/>
            </w:tcBorders>
            <w:noWrap w:val="0"/>
            <w:vAlign w:val="top"/>
          </w:tcPr>
          <w:p>
            <w:pPr>
              <w:rPr>
                <w:sz w:val="18"/>
              </w:rPr>
            </w:pPr>
          </w:p>
        </w:tc>
      </w:tr>
    </w:tbl>
    <w:p/>
    <w:p>
      <w:pPr>
        <w:pStyle w:val="11"/>
      </w:pPr>
    </w:p>
    <w:p>
      <w:pPr>
        <w:pStyle w:val="21"/>
      </w:pPr>
    </w:p>
    <w:p>
      <w:pPr>
        <w:pStyle w:val="22"/>
      </w:pPr>
    </w:p>
    <w:p>
      <w:pPr>
        <w:pStyle w:val="23"/>
      </w:pPr>
      <w:bookmarkStart w:id="118" w:name="_Toc10093"/>
      <w:bookmarkStart w:id="119" w:name="_Toc15415"/>
      <w:bookmarkStart w:id="120" w:name="_Toc6254"/>
      <w:bookmarkStart w:id="121" w:name="_Toc13071"/>
      <w:bookmarkStart w:id="122" w:name="_Toc25667"/>
      <w:bookmarkStart w:id="123" w:name="_Toc11464"/>
      <w:bookmarkStart w:id="124" w:name="_Toc14046"/>
      <w:bookmarkStart w:id="125" w:name="_Toc11583"/>
      <w:r>
        <w:br w:type="textWrapping"/>
      </w:r>
      <w:bookmarkStart w:id="126" w:name="_Toc111556054"/>
      <w:bookmarkStart w:id="127" w:name="_Toc107473233"/>
      <w:bookmarkStart w:id="128" w:name="_Toc107473436"/>
      <w:r>
        <w:rPr>
          <w:rFonts w:hint="eastAsia"/>
        </w:rPr>
        <w:t>（资料性）</w:t>
      </w:r>
      <w:r>
        <w:rPr>
          <w:rFonts w:hint="eastAsia"/>
        </w:rPr>
        <w:br w:type="textWrapping"/>
      </w:r>
      <w:bookmarkEnd w:id="118"/>
      <w:bookmarkEnd w:id="119"/>
      <w:bookmarkEnd w:id="120"/>
      <w:bookmarkEnd w:id="121"/>
      <w:bookmarkEnd w:id="122"/>
      <w:bookmarkEnd w:id="123"/>
      <w:bookmarkEnd w:id="124"/>
      <w:r>
        <w:rPr>
          <w:rFonts w:hint="eastAsia"/>
        </w:rPr>
        <w:t>评估</w:t>
      </w:r>
      <w:bookmarkEnd w:id="125"/>
      <w:bookmarkEnd w:id="126"/>
      <w:bookmarkEnd w:id="127"/>
      <w:bookmarkEnd w:id="128"/>
      <w:r>
        <w:rPr>
          <w:rFonts w:hint="eastAsia"/>
        </w:rPr>
        <w:t>材料</w:t>
      </w:r>
    </w:p>
    <w:p>
      <w:pPr>
        <w:pStyle w:val="25"/>
        <w:spacing w:before="312" w:after="312"/>
      </w:pPr>
      <w:r>
        <w:rPr>
          <w:rFonts w:hint="eastAsia"/>
        </w:rPr>
        <w:t>评估意见表</w:t>
      </w:r>
    </w:p>
    <w:p>
      <w:pPr>
        <w:pStyle w:val="11"/>
        <w:ind w:firstLine="0" w:firstLineChars="0"/>
        <w:jc w:val="center"/>
        <w:rPr>
          <w:rStyle w:val="10"/>
          <w:rFonts w:ascii="Times New Roman"/>
          <w:kern w:val="2"/>
        </w:rPr>
      </w:pPr>
      <w:r>
        <w:rPr>
          <w:rFonts w:hint="eastAsia" w:ascii="黑体" w:hAnsi="黑体" w:eastAsia="黑体" w:cs="黑体"/>
          <w:sz w:val="44"/>
          <w:szCs w:val="44"/>
        </w:rPr>
        <w:t>评估专家意见表</w:t>
      </w:r>
    </w:p>
    <w:p>
      <w:pPr>
        <w:pStyle w:val="11"/>
        <w:ind w:firstLine="0" w:firstLineChars="0"/>
        <w:jc w:val="center"/>
        <w:rPr>
          <w:rStyle w:val="10"/>
          <w:rFonts w:hint="eastAsia" w:ascii="Times New Roman"/>
          <w:kern w:val="2"/>
        </w:rPr>
      </w:pP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964"/>
        <w:gridCol w:w="1196"/>
        <w:gridCol w:w="1196"/>
        <w:gridCol w:w="1196"/>
        <w:gridCol w:w="1196"/>
        <w:gridCol w:w="1197"/>
        <w:gridCol w:w="11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center"/>
          </w:tcPr>
          <w:p>
            <w:pPr>
              <w:jc w:val="center"/>
              <w:rPr>
                <w:sz w:val="18"/>
                <w:szCs w:val="18"/>
              </w:rPr>
            </w:pPr>
            <w:r>
              <w:rPr>
                <w:rFonts w:hint="eastAsia"/>
                <w:sz w:val="18"/>
                <w:szCs w:val="18"/>
              </w:rPr>
              <w:t>姓名</w:t>
            </w:r>
          </w:p>
        </w:tc>
        <w:tc>
          <w:tcPr>
            <w:tcW w:w="964" w:type="dxa"/>
            <w:noWrap w:val="0"/>
            <w:vAlign w:val="top"/>
          </w:tcPr>
          <w:p>
            <w:pPr>
              <w:rPr>
                <w:sz w:val="18"/>
                <w:szCs w:val="18"/>
              </w:rPr>
            </w:pPr>
          </w:p>
        </w:tc>
        <w:tc>
          <w:tcPr>
            <w:tcW w:w="1196" w:type="dxa"/>
            <w:noWrap w:val="0"/>
            <w:vAlign w:val="center"/>
          </w:tcPr>
          <w:p>
            <w:pPr>
              <w:jc w:val="center"/>
              <w:rPr>
                <w:sz w:val="18"/>
                <w:szCs w:val="18"/>
              </w:rPr>
            </w:pPr>
            <w:r>
              <w:rPr>
                <w:rFonts w:hint="eastAsia"/>
                <w:sz w:val="18"/>
                <w:szCs w:val="18"/>
              </w:rPr>
              <w:t>职称</w:t>
            </w:r>
          </w:p>
        </w:tc>
        <w:tc>
          <w:tcPr>
            <w:tcW w:w="1196" w:type="dxa"/>
            <w:noWrap w:val="0"/>
            <w:vAlign w:val="center"/>
          </w:tcPr>
          <w:p>
            <w:pPr>
              <w:jc w:val="center"/>
              <w:rPr>
                <w:sz w:val="18"/>
                <w:szCs w:val="18"/>
              </w:rPr>
            </w:pPr>
          </w:p>
        </w:tc>
        <w:tc>
          <w:tcPr>
            <w:tcW w:w="1196" w:type="dxa"/>
            <w:noWrap w:val="0"/>
            <w:vAlign w:val="center"/>
          </w:tcPr>
          <w:p>
            <w:pPr>
              <w:jc w:val="center"/>
              <w:rPr>
                <w:sz w:val="18"/>
                <w:szCs w:val="18"/>
              </w:rPr>
            </w:pPr>
            <w:r>
              <w:rPr>
                <w:rFonts w:hint="eastAsia"/>
                <w:sz w:val="18"/>
                <w:szCs w:val="18"/>
              </w:rPr>
              <w:t>专业</w:t>
            </w:r>
          </w:p>
        </w:tc>
        <w:tc>
          <w:tcPr>
            <w:tcW w:w="1196" w:type="dxa"/>
            <w:noWrap w:val="0"/>
            <w:vAlign w:val="center"/>
          </w:tcPr>
          <w:p>
            <w:pPr>
              <w:jc w:val="center"/>
              <w:rPr>
                <w:sz w:val="18"/>
                <w:szCs w:val="18"/>
              </w:rPr>
            </w:pPr>
          </w:p>
        </w:tc>
        <w:tc>
          <w:tcPr>
            <w:tcW w:w="1197" w:type="dxa"/>
            <w:noWrap w:val="0"/>
            <w:vAlign w:val="center"/>
          </w:tcPr>
          <w:p>
            <w:pPr>
              <w:jc w:val="center"/>
              <w:rPr>
                <w:sz w:val="18"/>
                <w:szCs w:val="18"/>
              </w:rPr>
            </w:pPr>
            <w:r>
              <w:rPr>
                <w:rFonts w:hint="eastAsia"/>
                <w:sz w:val="18"/>
                <w:szCs w:val="18"/>
              </w:rPr>
              <w:t>电话</w:t>
            </w:r>
          </w:p>
        </w:tc>
        <w:tc>
          <w:tcPr>
            <w:tcW w:w="1197" w:type="dxa"/>
            <w:noWrap w:val="0"/>
            <w:vAlign w:val="top"/>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center"/>
          </w:tcPr>
          <w:p>
            <w:pPr>
              <w:jc w:val="center"/>
              <w:rPr>
                <w:sz w:val="18"/>
                <w:szCs w:val="18"/>
              </w:rPr>
            </w:pPr>
            <w:r>
              <w:rPr>
                <w:rFonts w:hint="eastAsia"/>
                <w:sz w:val="18"/>
                <w:szCs w:val="18"/>
              </w:rPr>
              <w:t>单位</w:t>
            </w:r>
          </w:p>
        </w:tc>
        <w:tc>
          <w:tcPr>
            <w:tcW w:w="3356" w:type="dxa"/>
            <w:gridSpan w:val="3"/>
            <w:noWrap w:val="0"/>
            <w:vAlign w:val="center"/>
          </w:tcPr>
          <w:p>
            <w:pPr>
              <w:jc w:val="center"/>
              <w:rPr>
                <w:sz w:val="18"/>
                <w:szCs w:val="18"/>
              </w:rPr>
            </w:pPr>
          </w:p>
        </w:tc>
        <w:tc>
          <w:tcPr>
            <w:tcW w:w="1196" w:type="dxa"/>
            <w:noWrap w:val="0"/>
            <w:vAlign w:val="center"/>
          </w:tcPr>
          <w:p>
            <w:pPr>
              <w:jc w:val="center"/>
              <w:rPr>
                <w:sz w:val="18"/>
                <w:szCs w:val="18"/>
              </w:rPr>
            </w:pPr>
            <w:r>
              <w:rPr>
                <w:rFonts w:hint="eastAsia"/>
                <w:sz w:val="18"/>
                <w:szCs w:val="18"/>
              </w:rPr>
              <w:t>职务</w:t>
            </w:r>
          </w:p>
        </w:tc>
        <w:tc>
          <w:tcPr>
            <w:tcW w:w="1196" w:type="dxa"/>
            <w:noWrap w:val="0"/>
            <w:vAlign w:val="center"/>
          </w:tcPr>
          <w:p>
            <w:pPr>
              <w:jc w:val="center"/>
              <w:rPr>
                <w:sz w:val="18"/>
                <w:szCs w:val="18"/>
              </w:rPr>
            </w:pPr>
          </w:p>
        </w:tc>
        <w:tc>
          <w:tcPr>
            <w:tcW w:w="1197" w:type="dxa"/>
            <w:noWrap w:val="0"/>
            <w:vAlign w:val="center"/>
          </w:tcPr>
          <w:p>
            <w:pPr>
              <w:jc w:val="center"/>
              <w:rPr>
                <w:sz w:val="18"/>
                <w:szCs w:val="18"/>
              </w:rPr>
            </w:pPr>
            <w:r>
              <w:rPr>
                <w:rFonts w:hint="eastAsia"/>
                <w:sz w:val="18"/>
                <w:szCs w:val="18"/>
              </w:rPr>
              <w:t>邮箱</w:t>
            </w:r>
          </w:p>
        </w:tc>
        <w:tc>
          <w:tcPr>
            <w:tcW w:w="1197" w:type="dxa"/>
            <w:noWrap w:val="0"/>
            <w:vAlign w:val="top"/>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center"/>
          </w:tcPr>
          <w:p>
            <w:pPr>
              <w:jc w:val="center"/>
              <w:rPr>
                <w:rFonts w:hint="eastAsia"/>
                <w:sz w:val="18"/>
                <w:szCs w:val="18"/>
              </w:rPr>
            </w:pPr>
            <w:r>
              <w:rPr>
                <w:rFonts w:hint="eastAsia"/>
                <w:sz w:val="18"/>
                <w:szCs w:val="18"/>
              </w:rPr>
              <w:t>项目</w:t>
            </w:r>
          </w:p>
          <w:p>
            <w:pPr>
              <w:jc w:val="center"/>
              <w:rPr>
                <w:sz w:val="18"/>
                <w:szCs w:val="18"/>
              </w:rPr>
            </w:pPr>
            <w:r>
              <w:rPr>
                <w:rFonts w:hint="eastAsia"/>
                <w:sz w:val="18"/>
                <w:szCs w:val="18"/>
              </w:rPr>
              <w:t>名称</w:t>
            </w:r>
          </w:p>
        </w:tc>
        <w:tc>
          <w:tcPr>
            <w:tcW w:w="8142" w:type="dxa"/>
            <w:gridSpan w:val="7"/>
            <w:noWrap w:val="0"/>
            <w:vAlign w:val="top"/>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28" w:type="dxa"/>
            <w:vMerge w:val="restart"/>
            <w:noWrap w:val="0"/>
            <w:vAlign w:val="center"/>
          </w:tcPr>
          <w:p>
            <w:pPr>
              <w:jc w:val="center"/>
              <w:rPr>
                <w:rFonts w:hint="eastAsia"/>
                <w:sz w:val="18"/>
                <w:szCs w:val="18"/>
              </w:rPr>
            </w:pPr>
            <w:r>
              <w:rPr>
                <w:rFonts w:hint="eastAsia"/>
                <w:sz w:val="18"/>
                <w:szCs w:val="18"/>
              </w:rPr>
              <w:t>评估</w:t>
            </w:r>
          </w:p>
          <w:p>
            <w:pPr>
              <w:jc w:val="center"/>
              <w:rPr>
                <w:sz w:val="18"/>
                <w:szCs w:val="18"/>
              </w:rPr>
            </w:pPr>
            <w:r>
              <w:rPr>
                <w:rFonts w:hint="eastAsia"/>
                <w:sz w:val="18"/>
                <w:szCs w:val="18"/>
              </w:rPr>
              <w:t>意见</w:t>
            </w:r>
          </w:p>
        </w:tc>
        <w:tc>
          <w:tcPr>
            <w:tcW w:w="8142" w:type="dxa"/>
            <w:gridSpan w:val="7"/>
            <w:noWrap w:val="0"/>
            <w:vAlign w:val="top"/>
          </w:tcPr>
          <w:p>
            <w:pPr>
              <w:numPr>
                <w:ilvl w:val="0"/>
                <w:numId w:val="19"/>
              </w:numPr>
              <w:spacing w:line="400" w:lineRule="exact"/>
              <w:rPr>
                <w:rFonts w:hint="eastAsia"/>
                <w:sz w:val="18"/>
                <w:szCs w:val="18"/>
              </w:rPr>
            </w:pPr>
            <w:r>
              <w:rPr>
                <w:rFonts w:hint="eastAsia"/>
                <w:sz w:val="18"/>
                <w:szCs w:val="18"/>
              </w:rPr>
              <w:t>总体评价</w:t>
            </w:r>
          </w:p>
          <w:p>
            <w:pPr>
              <w:spacing w:line="400" w:lineRule="exact"/>
              <w:ind w:firstLine="360" w:firstLineChars="200"/>
              <w:rPr>
                <w:sz w:val="18"/>
                <w:szCs w:val="18"/>
              </w:rPr>
            </w:pPr>
            <w:r>
              <w:rPr>
                <w:rFonts w:hint="eastAsia"/>
                <w:sz w:val="18"/>
                <w:szCs w:val="18"/>
              </w:rPr>
              <w:t>对咨询或设计单位资质及其编制项目文本资料（图纸）内容的全面性、规范性和深度是否达到有关要求进行评价。</w:t>
            </w:r>
          </w:p>
          <w:p>
            <w:pPr>
              <w:numPr>
                <w:ilvl w:val="0"/>
                <w:numId w:val="19"/>
              </w:numPr>
              <w:spacing w:line="400" w:lineRule="exact"/>
              <w:rPr>
                <w:rFonts w:hint="eastAsia"/>
                <w:sz w:val="18"/>
                <w:szCs w:val="18"/>
              </w:rPr>
            </w:pPr>
            <w:r>
              <w:rPr>
                <w:rFonts w:hint="eastAsia"/>
                <w:sz w:val="18"/>
                <w:szCs w:val="18"/>
              </w:rPr>
              <w:t>修改意见</w:t>
            </w:r>
          </w:p>
          <w:p>
            <w:pPr>
              <w:spacing w:line="400" w:lineRule="exact"/>
              <w:ind w:firstLine="360" w:firstLineChars="200"/>
              <w:rPr>
                <w:sz w:val="18"/>
                <w:szCs w:val="18"/>
              </w:rPr>
            </w:pPr>
            <w:r>
              <w:rPr>
                <w:rFonts w:hint="eastAsia"/>
                <w:sz w:val="18"/>
                <w:szCs w:val="18"/>
              </w:rPr>
              <w:t>对标专业相关规范，指出项目文本资料（图纸）中没有达到规范要求的具体内容，并提出涉及强制性规范修改意见；需进入专家组意见的应重点标明。</w:t>
            </w:r>
          </w:p>
          <w:p>
            <w:pPr>
              <w:numPr>
                <w:ilvl w:val="0"/>
                <w:numId w:val="19"/>
              </w:numPr>
              <w:spacing w:line="400" w:lineRule="exact"/>
              <w:rPr>
                <w:rFonts w:hint="eastAsia"/>
                <w:sz w:val="18"/>
                <w:szCs w:val="18"/>
              </w:rPr>
            </w:pPr>
            <w:r>
              <w:rPr>
                <w:rFonts w:hint="eastAsia"/>
                <w:sz w:val="18"/>
                <w:szCs w:val="18"/>
              </w:rPr>
              <w:t>优化建议</w:t>
            </w:r>
          </w:p>
          <w:p>
            <w:pPr>
              <w:spacing w:line="400" w:lineRule="exact"/>
              <w:ind w:firstLine="360" w:firstLineChars="200"/>
              <w:rPr>
                <w:rFonts w:hint="eastAsia"/>
                <w:sz w:val="18"/>
                <w:szCs w:val="18"/>
              </w:rPr>
            </w:pPr>
            <w:r>
              <w:rPr>
                <w:rFonts w:hint="eastAsia"/>
                <w:sz w:val="18"/>
                <w:szCs w:val="18"/>
              </w:rPr>
              <w:t>对项目评估重点内容及下阶段工作需要注意的问题提出可操作性优化建议。</w:t>
            </w:r>
          </w:p>
          <w:p>
            <w:pPr>
              <w:spacing w:line="400" w:lineRule="exact"/>
              <w:ind w:firstLine="360" w:firstLineChars="200"/>
              <w:rPr>
                <w:sz w:val="18"/>
                <w:szCs w:val="18"/>
              </w:rPr>
            </w:pPr>
            <w:r>
              <w:rPr>
                <w:rFonts w:hint="eastAsia"/>
                <w:sz w:val="18"/>
                <w:szCs w:val="18"/>
              </w:rPr>
              <w:t>评估重点内容见附件。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428" w:type="dxa"/>
            <w:vMerge w:val="continue"/>
            <w:noWrap w:val="0"/>
            <w:vAlign w:val="top"/>
          </w:tcPr>
          <w:p>
            <w:pPr>
              <w:rPr>
                <w:sz w:val="18"/>
                <w:szCs w:val="18"/>
              </w:rPr>
            </w:pPr>
          </w:p>
        </w:tc>
        <w:tc>
          <w:tcPr>
            <w:tcW w:w="8142" w:type="dxa"/>
            <w:gridSpan w:val="7"/>
            <w:noWrap w:val="0"/>
            <w:vAlign w:val="top"/>
          </w:tcPr>
          <w:p>
            <w:pPr>
              <w:rPr>
                <w:rFonts w:hint="eastAsia"/>
                <w:sz w:val="18"/>
                <w:szCs w:val="18"/>
              </w:rPr>
            </w:pPr>
          </w:p>
          <w:p>
            <w:pPr>
              <w:pStyle w:val="2"/>
            </w:pPr>
          </w:p>
          <w:p>
            <w:pPr>
              <w:wordWrap w:val="0"/>
              <w:jc w:val="right"/>
              <w:rPr>
                <w:rFonts w:hint="eastAsia"/>
                <w:sz w:val="18"/>
                <w:szCs w:val="18"/>
                <w:u w:val="single"/>
              </w:rPr>
            </w:pPr>
            <w:r>
              <w:rPr>
                <w:rFonts w:hint="eastAsia"/>
                <w:sz w:val="18"/>
                <w:szCs w:val="18"/>
              </w:rPr>
              <w:t>评估专家签字：</w:t>
            </w:r>
            <w:r>
              <w:rPr>
                <w:rFonts w:hint="eastAsia"/>
                <w:sz w:val="18"/>
                <w:szCs w:val="18"/>
                <w:u w:val="single"/>
              </w:rPr>
              <w:t xml:space="preserve">                </w:t>
            </w:r>
          </w:p>
          <w:p>
            <w:pPr>
              <w:wordWrap w:val="0"/>
              <w:jc w:val="right"/>
              <w:rPr>
                <w:rFonts w:hint="eastAsia"/>
                <w:sz w:val="18"/>
                <w:szCs w:val="18"/>
              </w:rPr>
            </w:pPr>
          </w:p>
          <w:p>
            <w:pPr>
              <w:jc w:val="right"/>
              <w:rPr>
                <w:sz w:val="18"/>
                <w:szCs w:val="18"/>
                <w:u w:val="single"/>
              </w:rPr>
            </w:pPr>
            <w:r>
              <w:rPr>
                <w:rFonts w:hint="eastAsia"/>
                <w:sz w:val="18"/>
                <w:szCs w:val="18"/>
              </w:rPr>
              <w:t xml:space="preserve">年     月     日    </w:t>
            </w:r>
          </w:p>
        </w:tc>
      </w:tr>
    </w:tbl>
    <w:p>
      <w:pPr>
        <w:pStyle w:val="25"/>
        <w:numPr>
          <w:ilvl w:val="0"/>
          <w:numId w:val="0"/>
        </w:numPr>
        <w:spacing w:before="312" w:after="312"/>
      </w:pPr>
    </w:p>
    <w:p>
      <w:pPr>
        <w:pStyle w:val="11"/>
      </w:pPr>
    </w:p>
    <w:p>
      <w:pPr>
        <w:pStyle w:val="25"/>
        <w:spacing w:before="312" w:after="312"/>
      </w:pPr>
      <w:r>
        <w:rPr>
          <w:rFonts w:hint="eastAsia"/>
        </w:rPr>
        <w:t>评估意见</w:t>
      </w:r>
    </w:p>
    <w:p>
      <w:pPr>
        <w:pStyle w:val="11"/>
        <w:ind w:firstLine="0" w:firstLineChars="0"/>
        <w:jc w:val="center"/>
        <w:rPr>
          <w:rFonts w:ascii="黑体" w:hAnsi="黑体" w:eastAsia="黑体" w:cs="黑体"/>
          <w:sz w:val="44"/>
          <w:szCs w:val="44"/>
        </w:rPr>
      </w:pPr>
      <w:r>
        <w:rPr>
          <w:rFonts w:hint="eastAsia" w:ascii="黑体" w:hAnsi="黑体" w:eastAsia="黑体" w:cs="黑体"/>
          <w:sz w:val="44"/>
          <w:szCs w:val="44"/>
        </w:rPr>
        <w:t>评估意见</w:t>
      </w:r>
    </w:p>
    <w:p>
      <w:pPr>
        <w:pStyle w:val="11"/>
        <w:numPr>
          <w:ilvl w:val="0"/>
          <w:numId w:val="20"/>
        </w:numPr>
        <w:rPr>
          <w:rFonts w:hint="eastAsia" w:ascii="黑体" w:hAnsi="黑体" w:eastAsia="黑体" w:cs="黑体"/>
          <w:szCs w:val="21"/>
        </w:rPr>
      </w:pPr>
      <w:r>
        <w:rPr>
          <w:rFonts w:hint="eastAsia" w:ascii="黑体" w:hAnsi="黑体" w:eastAsia="黑体" w:cs="黑体"/>
          <w:szCs w:val="21"/>
        </w:rPr>
        <w:t>评估简介</w:t>
      </w:r>
    </w:p>
    <w:p>
      <w:pPr>
        <w:pStyle w:val="11"/>
        <w:spacing w:line="400" w:lineRule="exact"/>
        <w:rPr>
          <w:rFonts w:hint="eastAsia"/>
          <w:szCs w:val="21"/>
        </w:rPr>
      </w:pPr>
      <w:r>
        <w:rPr>
          <w:rFonts w:hint="eastAsia"/>
          <w:szCs w:val="21"/>
        </w:rPr>
        <w:t>评估的时间、地点、委托方、参会人员及其他相关内容。</w:t>
      </w:r>
    </w:p>
    <w:p>
      <w:pPr>
        <w:pStyle w:val="11"/>
        <w:numPr>
          <w:ilvl w:val="0"/>
          <w:numId w:val="20"/>
        </w:numPr>
        <w:rPr>
          <w:rFonts w:hint="eastAsia" w:ascii="黑体" w:hAnsi="黑体" w:eastAsia="黑体" w:cs="黑体"/>
          <w:szCs w:val="21"/>
        </w:rPr>
      </w:pPr>
      <w:r>
        <w:rPr>
          <w:rFonts w:hint="eastAsia" w:ascii="黑体" w:hAnsi="黑体" w:eastAsia="黑体" w:cs="黑体"/>
          <w:szCs w:val="21"/>
        </w:rPr>
        <w:t>评估结论</w:t>
      </w:r>
    </w:p>
    <w:p>
      <w:pPr>
        <w:pStyle w:val="11"/>
        <w:spacing w:line="400" w:lineRule="exact"/>
        <w:rPr>
          <w:rFonts w:hint="eastAsia"/>
          <w:szCs w:val="21"/>
        </w:rPr>
      </w:pPr>
      <w:r>
        <w:rPr>
          <w:rFonts w:hint="eastAsia"/>
          <w:szCs w:val="21"/>
        </w:rPr>
        <w:t>对咨询或设计单位资质及其编制项目建设的必要性、文本资料（图纸）内容的全面性、规范性和深度是否达到有关要求进行评价，并给出评估结论之一：</w:t>
      </w:r>
    </w:p>
    <w:p>
      <w:pPr>
        <w:pStyle w:val="11"/>
        <w:spacing w:line="400" w:lineRule="exact"/>
        <w:rPr>
          <w:rFonts w:hint="eastAsia"/>
          <w:szCs w:val="21"/>
        </w:rPr>
      </w:pPr>
      <w:r>
        <w:rPr>
          <w:rFonts w:hint="eastAsia"/>
          <w:szCs w:val="21"/>
        </w:rPr>
        <w:t>1、同意通过评估（基本满足设计规范和标准要求、无重大调整修改意见的项目）。</w:t>
      </w:r>
    </w:p>
    <w:p>
      <w:pPr>
        <w:pStyle w:val="11"/>
        <w:spacing w:line="400" w:lineRule="exact"/>
        <w:rPr>
          <w:rFonts w:hint="eastAsia"/>
          <w:szCs w:val="21"/>
        </w:rPr>
      </w:pPr>
      <w:r>
        <w:rPr>
          <w:rFonts w:hint="eastAsia"/>
          <w:szCs w:val="21"/>
        </w:rPr>
        <w:t>2、建议修改完善并经专家组复核后通过评估（部分内容未达到设计规范和标准深度要求、有涉及强制性规范修改意见的项目）。</w:t>
      </w:r>
    </w:p>
    <w:p>
      <w:pPr>
        <w:pStyle w:val="11"/>
        <w:spacing w:line="400" w:lineRule="exact"/>
        <w:rPr>
          <w:rFonts w:hint="eastAsia"/>
          <w:szCs w:val="21"/>
        </w:rPr>
      </w:pPr>
      <w:r>
        <w:rPr>
          <w:rFonts w:hint="eastAsia"/>
          <w:szCs w:val="21"/>
        </w:rPr>
        <w:t>3、按照相关规范（规定）要求重新编制报审（不符合设计规范和标准要求、存在重大设计缺陷的项目）。</w:t>
      </w:r>
    </w:p>
    <w:p>
      <w:pPr>
        <w:pStyle w:val="11"/>
        <w:numPr>
          <w:ilvl w:val="0"/>
          <w:numId w:val="20"/>
        </w:numPr>
        <w:rPr>
          <w:rFonts w:ascii="黑体" w:hAnsi="黑体" w:eastAsia="黑体" w:cs="黑体"/>
          <w:szCs w:val="21"/>
        </w:rPr>
      </w:pPr>
      <w:r>
        <w:rPr>
          <w:rFonts w:hint="eastAsia" w:ascii="黑体" w:hAnsi="黑体" w:eastAsia="黑体" w:cs="黑体"/>
          <w:szCs w:val="21"/>
        </w:rPr>
        <w:t>修改意见</w:t>
      </w:r>
    </w:p>
    <w:p>
      <w:pPr>
        <w:pStyle w:val="11"/>
        <w:spacing w:line="400" w:lineRule="exact"/>
        <w:rPr>
          <w:rFonts w:hint="eastAsia"/>
          <w:szCs w:val="21"/>
        </w:rPr>
      </w:pPr>
      <w:r>
        <w:rPr>
          <w:rFonts w:hint="eastAsia"/>
          <w:szCs w:val="21"/>
        </w:rPr>
        <w:t>（一）修改完善</w:t>
      </w:r>
    </w:p>
    <w:p>
      <w:pPr>
        <w:pStyle w:val="11"/>
        <w:spacing w:line="400" w:lineRule="exact"/>
        <w:rPr>
          <w:rFonts w:hint="eastAsia"/>
          <w:szCs w:val="21"/>
        </w:rPr>
      </w:pPr>
      <w:r>
        <w:rPr>
          <w:rFonts w:hint="eastAsia"/>
          <w:szCs w:val="21"/>
        </w:rPr>
        <w:t>对标专业相关规范，指出项目文本资料（图纸）中没有达到规范要求的具体内容，并提出涉及强制性规范修改意见。</w:t>
      </w:r>
    </w:p>
    <w:p>
      <w:pPr>
        <w:pStyle w:val="11"/>
        <w:spacing w:line="400" w:lineRule="exact"/>
        <w:rPr>
          <w:rFonts w:hint="eastAsia"/>
          <w:szCs w:val="21"/>
        </w:rPr>
      </w:pPr>
      <w:r>
        <w:rPr>
          <w:rFonts w:hint="eastAsia"/>
          <w:szCs w:val="21"/>
        </w:rPr>
        <w:t>（二）优化建议</w:t>
      </w:r>
    </w:p>
    <w:p>
      <w:pPr>
        <w:pStyle w:val="11"/>
        <w:spacing w:line="400" w:lineRule="exact"/>
        <w:rPr>
          <w:rFonts w:hint="eastAsia"/>
          <w:szCs w:val="21"/>
        </w:rPr>
      </w:pPr>
      <w:r>
        <w:rPr>
          <w:rFonts w:hint="eastAsia"/>
          <w:szCs w:val="21"/>
        </w:rPr>
        <w:t>对项目评估重点内容及下阶段工作需要注意的问题提出可操作性优化建议。</w:t>
      </w:r>
    </w:p>
    <w:p>
      <w:pPr>
        <w:pStyle w:val="11"/>
        <w:spacing w:line="400" w:lineRule="exact"/>
        <w:rPr>
          <w:rFonts w:hint="eastAsia"/>
          <w:szCs w:val="21"/>
        </w:rPr>
      </w:pPr>
    </w:p>
    <w:p>
      <w:pPr>
        <w:pStyle w:val="11"/>
        <w:spacing w:line="400" w:lineRule="exact"/>
        <w:rPr>
          <w:rFonts w:hint="eastAsia"/>
          <w:szCs w:val="21"/>
        </w:rPr>
      </w:pPr>
    </w:p>
    <w:p>
      <w:pPr>
        <w:pStyle w:val="11"/>
        <w:wordWrap w:val="0"/>
        <w:jc w:val="right"/>
        <w:rPr>
          <w:szCs w:val="21"/>
        </w:rPr>
      </w:pPr>
      <w:r>
        <w:rPr>
          <w:rFonts w:hint="eastAsia"/>
          <w:szCs w:val="21"/>
        </w:rPr>
        <w:t xml:space="preserve">专家组长签名：           </w:t>
      </w:r>
    </w:p>
    <w:p>
      <w:pPr>
        <w:pStyle w:val="11"/>
        <w:wordWrap w:val="0"/>
        <w:jc w:val="right"/>
        <w:rPr>
          <w:rFonts w:hint="eastAsia"/>
          <w:szCs w:val="21"/>
        </w:rPr>
      </w:pPr>
      <w:r>
        <w:rPr>
          <w:rFonts w:hint="eastAsia"/>
          <w:szCs w:val="21"/>
        </w:rPr>
        <w:t xml:space="preserve">年   月   日        </w:t>
      </w:r>
    </w:p>
    <w:p>
      <w:pPr>
        <w:pStyle w:val="11"/>
        <w:ind w:firstLine="560"/>
        <w:jc w:val="right"/>
        <w:rPr>
          <w:rFonts w:hint="eastAsia"/>
          <w:sz w:val="28"/>
          <w:szCs w:val="28"/>
        </w:rPr>
      </w:pPr>
    </w:p>
    <w:p>
      <w:pPr>
        <w:pStyle w:val="11"/>
        <w:ind w:firstLine="560"/>
        <w:jc w:val="right"/>
        <w:rPr>
          <w:rFonts w:hint="eastAsia"/>
          <w:sz w:val="28"/>
          <w:szCs w:val="28"/>
        </w:rPr>
      </w:pPr>
    </w:p>
    <w:p>
      <w:pPr>
        <w:pStyle w:val="11"/>
        <w:ind w:firstLine="560"/>
        <w:jc w:val="right"/>
        <w:rPr>
          <w:rFonts w:hint="eastAsia"/>
          <w:sz w:val="28"/>
          <w:szCs w:val="28"/>
        </w:rPr>
      </w:pPr>
    </w:p>
    <w:p>
      <w:pPr>
        <w:pStyle w:val="11"/>
        <w:ind w:firstLine="560"/>
        <w:jc w:val="right"/>
        <w:rPr>
          <w:rFonts w:hint="eastAsia"/>
          <w:sz w:val="28"/>
          <w:szCs w:val="28"/>
        </w:rPr>
      </w:pPr>
    </w:p>
    <w:p>
      <w:pPr>
        <w:pStyle w:val="11"/>
        <w:ind w:firstLine="560"/>
        <w:jc w:val="right"/>
        <w:rPr>
          <w:rFonts w:hint="eastAsia"/>
          <w:sz w:val="28"/>
          <w:szCs w:val="28"/>
        </w:rPr>
      </w:pPr>
    </w:p>
    <w:p>
      <w:pPr>
        <w:pStyle w:val="11"/>
        <w:ind w:firstLine="560"/>
        <w:jc w:val="right"/>
        <w:rPr>
          <w:rFonts w:hint="eastAsia"/>
          <w:sz w:val="28"/>
          <w:szCs w:val="28"/>
        </w:rPr>
      </w:pPr>
    </w:p>
    <w:p>
      <w:pPr>
        <w:pStyle w:val="11"/>
        <w:ind w:firstLine="560"/>
        <w:jc w:val="right"/>
        <w:rPr>
          <w:rFonts w:hint="eastAsia"/>
          <w:sz w:val="28"/>
          <w:szCs w:val="28"/>
        </w:rPr>
      </w:pPr>
    </w:p>
    <w:p>
      <w:pPr>
        <w:pStyle w:val="25"/>
        <w:spacing w:before="312" w:after="312"/>
      </w:pPr>
      <w:r>
        <w:rPr>
          <w:rFonts w:hint="eastAsia"/>
        </w:rPr>
        <w:t>修改说明</w:t>
      </w:r>
    </w:p>
    <w:p>
      <w:pPr>
        <w:pStyle w:val="11"/>
        <w:spacing w:before="156" w:beforeLines="50" w:after="156" w:afterLines="50"/>
        <w:ind w:firstLine="0" w:firstLineChars="0"/>
        <w:jc w:val="center"/>
        <w:rPr>
          <w:rFonts w:ascii="黑体" w:hAnsi="黑体" w:eastAsia="黑体" w:cs="黑体"/>
          <w:sz w:val="44"/>
          <w:szCs w:val="44"/>
        </w:rPr>
      </w:pPr>
      <w:r>
        <w:rPr>
          <w:rFonts w:hint="eastAsia" w:ascii="黑体" w:hAnsi="黑体" w:eastAsia="黑体" w:cs="黑体"/>
          <w:sz w:val="44"/>
          <w:szCs w:val="44"/>
        </w:rPr>
        <w:t>关于××项目评估意见的修改说明</w:t>
      </w:r>
    </w:p>
    <w:p>
      <w:pPr>
        <w:pStyle w:val="11"/>
        <w:rPr>
          <w:rFonts w:hint="eastAsia" w:hAnsi="宋体" w:cs="宋体"/>
          <w:szCs w:val="21"/>
        </w:rPr>
      </w:pPr>
      <w:r>
        <w:rPr>
          <w:rFonts w:hint="eastAsia" w:hAnsi="宋体" w:cs="宋体"/>
          <w:szCs w:val="21"/>
        </w:rPr>
        <w:t>××年××月××日，××××××××××××组织召开了××项目评估会。评估专家与参会代表合计提出文本修改意见××条，优化建议××条。现将修改情况说明如下：</w:t>
      </w:r>
    </w:p>
    <w:p>
      <w:pPr>
        <w:pStyle w:val="11"/>
        <w:rPr>
          <w:rFonts w:hint="eastAsia" w:hAnsi="宋体" w:cs="宋体"/>
          <w:szCs w:val="21"/>
        </w:rPr>
      </w:pP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4430"/>
        <w:gridCol w:w="28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27" w:type="dxa"/>
            <w:tcBorders>
              <w:bottom w:val="single" w:color="auto" w:sz="8" w:space="0"/>
            </w:tcBorders>
            <w:noWrap w:val="0"/>
            <w:vAlign w:val="top"/>
          </w:tcPr>
          <w:p>
            <w:pPr>
              <w:jc w:val="center"/>
              <w:rPr>
                <w:sz w:val="18"/>
                <w:szCs w:val="18"/>
              </w:rPr>
            </w:pPr>
            <w:r>
              <w:rPr>
                <w:rFonts w:hint="eastAsia"/>
                <w:sz w:val="18"/>
                <w:szCs w:val="18"/>
              </w:rPr>
              <w:t>专家组评估意见</w:t>
            </w:r>
          </w:p>
        </w:tc>
        <w:tc>
          <w:tcPr>
            <w:tcW w:w="4430" w:type="dxa"/>
            <w:tcBorders>
              <w:bottom w:val="single" w:color="auto" w:sz="8" w:space="0"/>
            </w:tcBorders>
            <w:noWrap w:val="0"/>
            <w:vAlign w:val="top"/>
          </w:tcPr>
          <w:p>
            <w:pPr>
              <w:jc w:val="center"/>
              <w:rPr>
                <w:sz w:val="18"/>
                <w:szCs w:val="18"/>
              </w:rPr>
            </w:pPr>
            <w:r>
              <w:rPr>
                <w:rFonts w:hint="eastAsia"/>
                <w:sz w:val="18"/>
                <w:szCs w:val="18"/>
              </w:rPr>
              <w:t>采纳及修改情况</w:t>
            </w:r>
          </w:p>
        </w:tc>
        <w:tc>
          <w:tcPr>
            <w:tcW w:w="2813" w:type="dxa"/>
            <w:tcBorders>
              <w:bottom w:val="single" w:color="auto" w:sz="8" w:space="0"/>
            </w:tcBorders>
            <w:noWrap w:val="0"/>
            <w:vAlign w:val="top"/>
          </w:tcPr>
          <w:p>
            <w:pPr>
              <w:jc w:val="center"/>
              <w:rPr>
                <w:sz w:val="18"/>
                <w:szCs w:val="18"/>
              </w:rPr>
            </w:pPr>
            <w:r>
              <w:rPr>
                <w:rFonts w:hint="eastAsia"/>
                <w:sz w:val="18"/>
                <w:szCs w:val="18"/>
              </w:rPr>
              <w:t>未采纳原因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27" w:type="dxa"/>
            <w:tcBorders>
              <w:top w:val="single" w:color="auto" w:sz="8" w:space="0"/>
            </w:tcBorders>
            <w:noWrap w:val="0"/>
            <w:vAlign w:val="center"/>
          </w:tcPr>
          <w:p>
            <w:pPr>
              <w:rPr>
                <w:sz w:val="18"/>
                <w:szCs w:val="18"/>
              </w:rPr>
            </w:pPr>
            <w:r>
              <w:rPr>
                <w:rFonts w:hint="eastAsia"/>
                <w:sz w:val="18"/>
                <w:szCs w:val="18"/>
              </w:rPr>
              <w:t>1.</w:t>
            </w:r>
          </w:p>
        </w:tc>
        <w:tc>
          <w:tcPr>
            <w:tcW w:w="4430" w:type="dxa"/>
            <w:tcBorders>
              <w:top w:val="single" w:color="auto" w:sz="8" w:space="0"/>
            </w:tcBorders>
            <w:noWrap w:val="0"/>
            <w:vAlign w:val="top"/>
          </w:tcPr>
          <w:p>
            <w:pPr>
              <w:spacing w:line="400" w:lineRule="exact"/>
              <w:rPr>
                <w:sz w:val="18"/>
                <w:szCs w:val="18"/>
              </w:rPr>
            </w:pPr>
            <w:r>
              <w:rPr>
                <w:rFonts w:hint="eastAsia"/>
                <w:sz w:val="18"/>
                <w:szCs w:val="18"/>
              </w:rPr>
              <w:t>将文本第×章第×节（×页）关于××的内容修改为××。详见第×章第×节（×页）。</w:t>
            </w:r>
          </w:p>
        </w:tc>
        <w:tc>
          <w:tcPr>
            <w:tcW w:w="2813" w:type="dxa"/>
            <w:tcBorders>
              <w:top w:val="single" w:color="auto" w:sz="8" w:space="0"/>
            </w:tcBorders>
            <w:noWrap w:val="0"/>
            <w:vAlign w:val="top"/>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27" w:type="dxa"/>
            <w:noWrap w:val="0"/>
            <w:vAlign w:val="center"/>
          </w:tcPr>
          <w:p>
            <w:pPr>
              <w:rPr>
                <w:sz w:val="18"/>
                <w:szCs w:val="18"/>
              </w:rPr>
            </w:pPr>
            <w:r>
              <w:rPr>
                <w:rFonts w:hint="eastAsia"/>
                <w:sz w:val="18"/>
                <w:szCs w:val="18"/>
              </w:rPr>
              <w:t>2.</w:t>
            </w:r>
          </w:p>
        </w:tc>
        <w:tc>
          <w:tcPr>
            <w:tcW w:w="4430" w:type="dxa"/>
            <w:noWrap w:val="0"/>
            <w:vAlign w:val="top"/>
          </w:tcPr>
          <w:p>
            <w:pPr>
              <w:spacing w:line="400" w:lineRule="exact"/>
              <w:rPr>
                <w:sz w:val="18"/>
                <w:szCs w:val="18"/>
              </w:rPr>
            </w:pPr>
            <w:r>
              <w:rPr>
                <w:rFonts w:hint="eastAsia"/>
                <w:sz w:val="18"/>
                <w:szCs w:val="18"/>
              </w:rPr>
              <w:t>将××图纸关于××的内容修改为××。详见××图纸（编码）。</w:t>
            </w:r>
          </w:p>
        </w:tc>
        <w:tc>
          <w:tcPr>
            <w:tcW w:w="2813" w:type="dxa"/>
            <w:noWrap w:val="0"/>
            <w:vAlign w:val="top"/>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27" w:type="dxa"/>
            <w:noWrap w:val="0"/>
            <w:vAlign w:val="center"/>
          </w:tcPr>
          <w:p>
            <w:pPr>
              <w:rPr>
                <w:sz w:val="18"/>
                <w:szCs w:val="18"/>
              </w:rPr>
            </w:pPr>
            <w:r>
              <w:rPr>
                <w:rFonts w:hint="eastAsia"/>
                <w:sz w:val="18"/>
                <w:szCs w:val="18"/>
              </w:rPr>
              <w:t>3.</w:t>
            </w:r>
          </w:p>
        </w:tc>
        <w:tc>
          <w:tcPr>
            <w:tcW w:w="4430" w:type="dxa"/>
            <w:noWrap w:val="0"/>
            <w:vAlign w:val="top"/>
          </w:tcPr>
          <w:p>
            <w:pPr>
              <w:spacing w:line="400" w:lineRule="exact"/>
              <w:rPr>
                <w:sz w:val="18"/>
                <w:szCs w:val="18"/>
              </w:rPr>
            </w:pPr>
            <w:r>
              <w:rPr>
                <w:rFonts w:hint="eastAsia"/>
                <w:sz w:val="18"/>
                <w:szCs w:val="18"/>
              </w:rPr>
              <w:t>补充了××内容。详见第×章第×节（×页）。</w:t>
            </w:r>
          </w:p>
        </w:tc>
        <w:tc>
          <w:tcPr>
            <w:tcW w:w="2813" w:type="dxa"/>
            <w:noWrap w:val="0"/>
            <w:vAlign w:val="top"/>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27" w:type="dxa"/>
            <w:noWrap w:val="0"/>
            <w:vAlign w:val="center"/>
          </w:tcPr>
          <w:p>
            <w:pPr>
              <w:rPr>
                <w:sz w:val="18"/>
                <w:szCs w:val="18"/>
              </w:rPr>
            </w:pPr>
            <w:r>
              <w:rPr>
                <w:rFonts w:hint="eastAsia"/>
                <w:sz w:val="18"/>
                <w:szCs w:val="18"/>
              </w:rPr>
              <w:t>4.</w:t>
            </w:r>
          </w:p>
        </w:tc>
        <w:tc>
          <w:tcPr>
            <w:tcW w:w="4430" w:type="dxa"/>
            <w:noWrap w:val="0"/>
            <w:vAlign w:val="top"/>
          </w:tcPr>
          <w:p>
            <w:pPr>
              <w:spacing w:line="400" w:lineRule="exact"/>
              <w:rPr>
                <w:sz w:val="18"/>
                <w:szCs w:val="18"/>
              </w:rPr>
            </w:pPr>
            <w:r>
              <w:rPr>
                <w:rFonts w:hint="eastAsia"/>
                <w:sz w:val="18"/>
                <w:szCs w:val="18"/>
              </w:rPr>
              <w:t>删除了××。详见第×章第×节（×页）。</w:t>
            </w:r>
          </w:p>
        </w:tc>
        <w:tc>
          <w:tcPr>
            <w:tcW w:w="2813" w:type="dxa"/>
            <w:noWrap w:val="0"/>
            <w:vAlign w:val="top"/>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27" w:type="dxa"/>
            <w:noWrap w:val="0"/>
            <w:vAlign w:val="center"/>
          </w:tcPr>
          <w:p>
            <w:pPr>
              <w:rPr>
                <w:sz w:val="18"/>
                <w:szCs w:val="18"/>
              </w:rPr>
            </w:pPr>
            <w:r>
              <w:rPr>
                <w:rFonts w:hint="eastAsia"/>
                <w:sz w:val="18"/>
                <w:szCs w:val="18"/>
              </w:rPr>
              <w:t>5.</w:t>
            </w:r>
          </w:p>
        </w:tc>
        <w:tc>
          <w:tcPr>
            <w:tcW w:w="4430" w:type="dxa"/>
            <w:noWrap w:val="0"/>
            <w:vAlign w:val="top"/>
          </w:tcPr>
          <w:p>
            <w:pPr>
              <w:rPr>
                <w:sz w:val="18"/>
                <w:szCs w:val="18"/>
              </w:rPr>
            </w:pPr>
          </w:p>
        </w:tc>
        <w:tc>
          <w:tcPr>
            <w:tcW w:w="2813" w:type="dxa"/>
            <w:noWrap w:val="0"/>
            <w:vAlign w:val="top"/>
          </w:tcPr>
          <w:p>
            <w:pPr>
              <w:spacing w:line="400" w:lineRule="exact"/>
              <w:rPr>
                <w:sz w:val="18"/>
                <w:szCs w:val="18"/>
              </w:rPr>
            </w:pPr>
            <w:r>
              <w:rPr>
                <w:rFonts w:hint="eastAsia"/>
                <w:sz w:val="18"/>
                <w:szCs w:val="18"/>
              </w:rPr>
              <w:t>经认真核对，原××内容符合相关规定和项目实际，不对此项进行修改。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3"/>
            <w:tcBorders>
              <w:top w:val="single" w:color="auto" w:sz="8" w:space="0"/>
            </w:tcBorders>
            <w:noWrap w:val="0"/>
            <w:vAlign w:val="top"/>
          </w:tcPr>
          <w:p>
            <w:pPr>
              <w:jc w:val="center"/>
              <w:rPr>
                <w:sz w:val="18"/>
                <w:szCs w:val="18"/>
              </w:rPr>
            </w:pPr>
            <w:r>
              <w:rPr>
                <w:rFonts w:hint="eastAsia"/>
                <w:sz w:val="18"/>
                <w:szCs w:val="18"/>
              </w:rPr>
              <w:t>专家：××       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3"/>
            <w:noWrap w:val="0"/>
            <w:vAlign w:val="top"/>
          </w:tcPr>
          <w:p>
            <w:pPr>
              <w:jc w:val="center"/>
              <w:rPr>
                <w:sz w:val="18"/>
                <w:szCs w:val="18"/>
              </w:rPr>
            </w:pPr>
            <w:r>
              <w:rPr>
                <w:rFonts w:hint="eastAsia"/>
                <w:sz w:val="18"/>
                <w:szCs w:val="18"/>
              </w:rPr>
              <w:t>内容格式参考专家评估意见</w:t>
            </w:r>
          </w:p>
        </w:tc>
      </w:tr>
    </w:tbl>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11"/>
        <w:rPr>
          <w:szCs w:val="24"/>
        </w:rPr>
      </w:pPr>
    </w:p>
    <w:p>
      <w:pPr>
        <w:pStyle w:val="25"/>
        <w:spacing w:before="312" w:after="312"/>
        <w:rPr>
          <w:rFonts w:hint="eastAsia"/>
        </w:rPr>
      </w:pPr>
      <w:r>
        <w:rPr>
          <w:rFonts w:hint="eastAsia"/>
        </w:rPr>
        <w:t>评估复核意见表</w:t>
      </w:r>
    </w:p>
    <w:p>
      <w:pPr>
        <w:pStyle w:val="11"/>
        <w:spacing w:before="156" w:beforeLines="50" w:after="156" w:afterLines="50"/>
        <w:ind w:firstLine="0" w:firstLineChars="0"/>
        <w:jc w:val="center"/>
        <w:rPr>
          <w:rFonts w:ascii="黑体" w:hAnsi="黑体" w:eastAsia="黑体" w:cs="黑体"/>
          <w:sz w:val="44"/>
          <w:szCs w:val="44"/>
        </w:rPr>
      </w:pPr>
      <w:r>
        <w:rPr>
          <w:rFonts w:hint="eastAsia" w:ascii="黑体" w:hAnsi="黑体" w:eastAsia="黑体" w:cs="黑体"/>
          <w:sz w:val="44"/>
          <w:szCs w:val="44"/>
        </w:rPr>
        <w:t>××项目评估专家复核</w:t>
      </w:r>
      <w:r>
        <w:rPr>
          <w:rFonts w:ascii="黑体" w:hAnsi="黑体" w:eastAsia="黑体" w:cs="黑体"/>
          <w:sz w:val="44"/>
          <w:szCs w:val="44"/>
        </w:rPr>
        <w:t>意见表</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964"/>
        <w:gridCol w:w="1196"/>
        <w:gridCol w:w="1196"/>
        <w:gridCol w:w="1196"/>
        <w:gridCol w:w="1196"/>
        <w:gridCol w:w="1197"/>
        <w:gridCol w:w="11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center"/>
          </w:tcPr>
          <w:p>
            <w:pPr>
              <w:jc w:val="center"/>
              <w:rPr>
                <w:sz w:val="18"/>
                <w:szCs w:val="18"/>
              </w:rPr>
            </w:pPr>
            <w:r>
              <w:rPr>
                <w:rFonts w:hint="eastAsia"/>
                <w:sz w:val="18"/>
                <w:szCs w:val="18"/>
              </w:rPr>
              <w:t>姓名</w:t>
            </w:r>
          </w:p>
        </w:tc>
        <w:tc>
          <w:tcPr>
            <w:tcW w:w="964" w:type="dxa"/>
            <w:noWrap w:val="0"/>
            <w:vAlign w:val="top"/>
          </w:tcPr>
          <w:p>
            <w:pPr>
              <w:rPr>
                <w:sz w:val="18"/>
                <w:szCs w:val="18"/>
              </w:rPr>
            </w:pPr>
          </w:p>
        </w:tc>
        <w:tc>
          <w:tcPr>
            <w:tcW w:w="1196" w:type="dxa"/>
            <w:noWrap w:val="0"/>
            <w:vAlign w:val="center"/>
          </w:tcPr>
          <w:p>
            <w:pPr>
              <w:jc w:val="center"/>
              <w:rPr>
                <w:sz w:val="18"/>
                <w:szCs w:val="18"/>
              </w:rPr>
            </w:pPr>
            <w:r>
              <w:rPr>
                <w:rFonts w:hint="eastAsia"/>
                <w:sz w:val="18"/>
                <w:szCs w:val="18"/>
              </w:rPr>
              <w:t>职称</w:t>
            </w:r>
          </w:p>
        </w:tc>
        <w:tc>
          <w:tcPr>
            <w:tcW w:w="1196" w:type="dxa"/>
            <w:noWrap w:val="0"/>
            <w:vAlign w:val="center"/>
          </w:tcPr>
          <w:p>
            <w:pPr>
              <w:jc w:val="center"/>
              <w:rPr>
                <w:sz w:val="18"/>
                <w:szCs w:val="18"/>
              </w:rPr>
            </w:pPr>
          </w:p>
        </w:tc>
        <w:tc>
          <w:tcPr>
            <w:tcW w:w="1196" w:type="dxa"/>
            <w:noWrap w:val="0"/>
            <w:vAlign w:val="center"/>
          </w:tcPr>
          <w:p>
            <w:pPr>
              <w:jc w:val="center"/>
              <w:rPr>
                <w:sz w:val="18"/>
                <w:szCs w:val="18"/>
              </w:rPr>
            </w:pPr>
            <w:r>
              <w:rPr>
                <w:rFonts w:hint="eastAsia"/>
                <w:sz w:val="18"/>
                <w:szCs w:val="18"/>
              </w:rPr>
              <w:t>专业</w:t>
            </w:r>
          </w:p>
        </w:tc>
        <w:tc>
          <w:tcPr>
            <w:tcW w:w="1196" w:type="dxa"/>
            <w:noWrap w:val="0"/>
            <w:vAlign w:val="center"/>
          </w:tcPr>
          <w:p>
            <w:pPr>
              <w:jc w:val="center"/>
              <w:rPr>
                <w:sz w:val="18"/>
                <w:szCs w:val="18"/>
              </w:rPr>
            </w:pPr>
          </w:p>
        </w:tc>
        <w:tc>
          <w:tcPr>
            <w:tcW w:w="1197" w:type="dxa"/>
            <w:noWrap w:val="0"/>
            <w:vAlign w:val="center"/>
          </w:tcPr>
          <w:p>
            <w:pPr>
              <w:jc w:val="center"/>
              <w:rPr>
                <w:sz w:val="18"/>
                <w:szCs w:val="18"/>
              </w:rPr>
            </w:pPr>
            <w:r>
              <w:rPr>
                <w:rFonts w:hint="eastAsia"/>
                <w:sz w:val="18"/>
                <w:szCs w:val="18"/>
              </w:rPr>
              <w:t>电话</w:t>
            </w:r>
          </w:p>
        </w:tc>
        <w:tc>
          <w:tcPr>
            <w:tcW w:w="1197" w:type="dxa"/>
            <w:noWrap w:val="0"/>
            <w:vAlign w:val="top"/>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center"/>
          </w:tcPr>
          <w:p>
            <w:pPr>
              <w:jc w:val="center"/>
              <w:rPr>
                <w:sz w:val="18"/>
                <w:szCs w:val="18"/>
              </w:rPr>
            </w:pPr>
            <w:r>
              <w:rPr>
                <w:rFonts w:hint="eastAsia"/>
                <w:sz w:val="18"/>
                <w:szCs w:val="18"/>
              </w:rPr>
              <w:t>单位</w:t>
            </w:r>
          </w:p>
        </w:tc>
        <w:tc>
          <w:tcPr>
            <w:tcW w:w="3356" w:type="dxa"/>
            <w:gridSpan w:val="3"/>
            <w:noWrap w:val="0"/>
            <w:vAlign w:val="center"/>
          </w:tcPr>
          <w:p>
            <w:pPr>
              <w:jc w:val="center"/>
              <w:rPr>
                <w:sz w:val="18"/>
                <w:szCs w:val="18"/>
              </w:rPr>
            </w:pPr>
          </w:p>
        </w:tc>
        <w:tc>
          <w:tcPr>
            <w:tcW w:w="1196" w:type="dxa"/>
            <w:noWrap w:val="0"/>
            <w:vAlign w:val="center"/>
          </w:tcPr>
          <w:p>
            <w:pPr>
              <w:jc w:val="center"/>
              <w:rPr>
                <w:sz w:val="18"/>
                <w:szCs w:val="18"/>
              </w:rPr>
            </w:pPr>
            <w:r>
              <w:rPr>
                <w:rFonts w:hint="eastAsia"/>
                <w:sz w:val="18"/>
                <w:szCs w:val="18"/>
              </w:rPr>
              <w:t>职务</w:t>
            </w:r>
          </w:p>
        </w:tc>
        <w:tc>
          <w:tcPr>
            <w:tcW w:w="1196" w:type="dxa"/>
            <w:noWrap w:val="0"/>
            <w:vAlign w:val="center"/>
          </w:tcPr>
          <w:p>
            <w:pPr>
              <w:jc w:val="center"/>
              <w:rPr>
                <w:sz w:val="18"/>
                <w:szCs w:val="18"/>
              </w:rPr>
            </w:pPr>
          </w:p>
        </w:tc>
        <w:tc>
          <w:tcPr>
            <w:tcW w:w="1197" w:type="dxa"/>
            <w:noWrap w:val="0"/>
            <w:vAlign w:val="center"/>
          </w:tcPr>
          <w:p>
            <w:pPr>
              <w:jc w:val="center"/>
              <w:rPr>
                <w:sz w:val="18"/>
                <w:szCs w:val="18"/>
              </w:rPr>
            </w:pPr>
            <w:r>
              <w:rPr>
                <w:rFonts w:hint="eastAsia"/>
                <w:sz w:val="18"/>
                <w:szCs w:val="18"/>
              </w:rPr>
              <w:t>邮箱</w:t>
            </w:r>
          </w:p>
        </w:tc>
        <w:tc>
          <w:tcPr>
            <w:tcW w:w="1197" w:type="dxa"/>
            <w:noWrap w:val="0"/>
            <w:vAlign w:val="top"/>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center"/>
          </w:tcPr>
          <w:p>
            <w:pPr>
              <w:jc w:val="center"/>
              <w:rPr>
                <w:sz w:val="18"/>
                <w:szCs w:val="18"/>
              </w:rPr>
            </w:pPr>
            <w:r>
              <w:rPr>
                <w:rFonts w:hint="eastAsia"/>
                <w:sz w:val="18"/>
                <w:szCs w:val="18"/>
              </w:rPr>
              <w:t>项目名称</w:t>
            </w:r>
          </w:p>
        </w:tc>
        <w:tc>
          <w:tcPr>
            <w:tcW w:w="8142" w:type="dxa"/>
            <w:gridSpan w:val="7"/>
            <w:noWrap w:val="0"/>
            <w:vAlign w:val="top"/>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vMerge w:val="restart"/>
            <w:noWrap w:val="0"/>
            <w:vAlign w:val="center"/>
          </w:tcPr>
          <w:p>
            <w:pPr>
              <w:jc w:val="center"/>
              <w:rPr>
                <w:rFonts w:hint="eastAsia"/>
                <w:sz w:val="18"/>
                <w:szCs w:val="18"/>
              </w:rPr>
            </w:pPr>
            <w:r>
              <w:rPr>
                <w:rFonts w:hint="eastAsia"/>
                <w:sz w:val="18"/>
                <w:szCs w:val="18"/>
              </w:rPr>
              <w:t>复</w:t>
            </w:r>
          </w:p>
          <w:p>
            <w:pPr>
              <w:jc w:val="center"/>
              <w:rPr>
                <w:rFonts w:hint="eastAsia"/>
                <w:sz w:val="18"/>
                <w:szCs w:val="18"/>
              </w:rPr>
            </w:pPr>
            <w:r>
              <w:rPr>
                <w:rFonts w:hint="eastAsia"/>
                <w:sz w:val="18"/>
                <w:szCs w:val="18"/>
              </w:rPr>
              <w:t>核</w:t>
            </w:r>
          </w:p>
          <w:p>
            <w:pPr>
              <w:jc w:val="center"/>
              <w:rPr>
                <w:rFonts w:hint="eastAsia"/>
                <w:sz w:val="18"/>
                <w:szCs w:val="18"/>
              </w:rPr>
            </w:pPr>
            <w:r>
              <w:rPr>
                <w:rFonts w:hint="eastAsia"/>
                <w:sz w:val="18"/>
                <w:szCs w:val="18"/>
              </w:rPr>
              <w:t>意</w:t>
            </w:r>
          </w:p>
          <w:p>
            <w:pPr>
              <w:jc w:val="center"/>
              <w:rPr>
                <w:sz w:val="18"/>
                <w:szCs w:val="18"/>
              </w:rPr>
            </w:pPr>
            <w:r>
              <w:rPr>
                <w:rFonts w:hint="eastAsia"/>
                <w:sz w:val="18"/>
                <w:szCs w:val="18"/>
              </w:rPr>
              <w:t>见</w:t>
            </w:r>
          </w:p>
        </w:tc>
        <w:tc>
          <w:tcPr>
            <w:tcW w:w="8142" w:type="dxa"/>
            <w:gridSpan w:val="7"/>
            <w:noWrap w:val="0"/>
            <w:vAlign w:val="top"/>
          </w:tcPr>
          <w:p>
            <w:pPr>
              <w:rPr>
                <w:rFonts w:hint="eastAsia"/>
                <w:sz w:val="18"/>
                <w:szCs w:val="18"/>
              </w:rPr>
            </w:pPr>
          </w:p>
          <w:p>
            <w:pPr>
              <w:ind w:firstLine="360" w:firstLineChars="200"/>
              <w:rPr>
                <w:rFonts w:hint="eastAsia"/>
                <w:sz w:val="18"/>
                <w:szCs w:val="18"/>
              </w:rPr>
            </w:pPr>
            <w:r>
              <w:rPr>
                <w:rFonts w:hint="eastAsia"/>
                <w:sz w:val="18"/>
                <w:szCs w:val="18"/>
              </w:rPr>
              <w:t>专家复核意见表述类别：</w:t>
            </w:r>
          </w:p>
          <w:p>
            <w:pPr>
              <w:ind w:firstLine="360" w:firstLineChars="200"/>
              <w:rPr>
                <w:rFonts w:hint="eastAsia"/>
                <w:sz w:val="18"/>
                <w:szCs w:val="18"/>
              </w:rPr>
            </w:pPr>
            <w:r>
              <w:rPr>
                <w:rFonts w:hint="eastAsia"/>
                <w:sz w:val="18"/>
                <w:szCs w:val="18"/>
              </w:rPr>
              <w:t>1.“修改意见”已采纳，同意通过评估；</w:t>
            </w:r>
          </w:p>
          <w:p>
            <w:pPr>
              <w:ind w:firstLine="360" w:firstLineChars="200"/>
              <w:rPr>
                <w:sz w:val="18"/>
                <w:szCs w:val="18"/>
              </w:rPr>
            </w:pPr>
            <w:r>
              <w:rPr>
                <w:rFonts w:hint="eastAsia"/>
                <w:sz w:val="18"/>
                <w:szCs w:val="18"/>
              </w:rPr>
              <w:t>2.“修改意见”部分采纳，原则通过评估，其余修改意见建议在下阶段完善。</w:t>
            </w:r>
          </w:p>
          <w:p>
            <w:pPr>
              <w:ind w:firstLine="360" w:firstLineChars="200"/>
              <w:rPr>
                <w:rFonts w:hint="eastAsia"/>
                <w:sz w:val="18"/>
                <w:szCs w:val="18"/>
              </w:rPr>
            </w:pPr>
            <w:r>
              <w:rPr>
                <w:rFonts w:hint="eastAsia"/>
                <w:sz w:val="18"/>
                <w:szCs w:val="18"/>
              </w:rPr>
              <w:t>3.因强制性规范修改内容未落实，保留个人意见，不同意通过评估。</w:t>
            </w: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vMerge w:val="continue"/>
            <w:noWrap w:val="0"/>
            <w:vAlign w:val="top"/>
          </w:tcPr>
          <w:p>
            <w:pPr>
              <w:rPr>
                <w:sz w:val="18"/>
                <w:szCs w:val="18"/>
              </w:rPr>
            </w:pPr>
          </w:p>
        </w:tc>
        <w:tc>
          <w:tcPr>
            <w:tcW w:w="8142" w:type="dxa"/>
            <w:gridSpan w:val="7"/>
            <w:noWrap w:val="0"/>
            <w:vAlign w:val="top"/>
          </w:tcPr>
          <w:p>
            <w:pPr>
              <w:rPr>
                <w:sz w:val="18"/>
                <w:szCs w:val="18"/>
              </w:rPr>
            </w:pPr>
          </w:p>
          <w:p>
            <w:pPr>
              <w:rPr>
                <w:sz w:val="18"/>
                <w:szCs w:val="18"/>
              </w:rPr>
            </w:pPr>
          </w:p>
          <w:p>
            <w:pPr>
              <w:wordWrap w:val="0"/>
              <w:jc w:val="right"/>
              <w:rPr>
                <w:rFonts w:hint="eastAsia"/>
                <w:sz w:val="18"/>
                <w:szCs w:val="18"/>
                <w:u w:val="single"/>
              </w:rPr>
            </w:pPr>
            <w:r>
              <w:rPr>
                <w:rFonts w:hint="eastAsia"/>
                <w:sz w:val="18"/>
                <w:szCs w:val="18"/>
              </w:rPr>
              <w:t>评估专家签字：</w:t>
            </w:r>
            <w:r>
              <w:rPr>
                <w:rFonts w:hint="eastAsia"/>
                <w:sz w:val="18"/>
                <w:szCs w:val="18"/>
                <w:u w:val="single"/>
              </w:rPr>
              <w:t xml:space="preserve">                </w:t>
            </w:r>
          </w:p>
          <w:p>
            <w:pPr>
              <w:wordWrap w:val="0"/>
              <w:jc w:val="right"/>
              <w:rPr>
                <w:rFonts w:hint="eastAsia"/>
                <w:sz w:val="18"/>
                <w:szCs w:val="18"/>
              </w:rPr>
            </w:pPr>
          </w:p>
          <w:p>
            <w:pPr>
              <w:jc w:val="right"/>
              <w:rPr>
                <w:sz w:val="18"/>
                <w:szCs w:val="18"/>
                <w:u w:val="single"/>
              </w:rPr>
            </w:pPr>
            <w:r>
              <w:rPr>
                <w:rFonts w:hint="eastAsia"/>
                <w:sz w:val="18"/>
                <w:szCs w:val="18"/>
              </w:rPr>
              <w:t xml:space="preserve">年     月     日    </w:t>
            </w:r>
          </w:p>
        </w:tc>
      </w:tr>
    </w:tbl>
    <w:p>
      <w:pPr>
        <w:pStyle w:val="11"/>
        <w:rPr>
          <w:rFonts w:hint="eastAsia"/>
        </w:rPr>
      </w:pPr>
    </w:p>
    <w:p>
      <w:pPr>
        <w:pStyle w:val="11"/>
        <w:rPr>
          <w:rFonts w:hint="eastAsia"/>
        </w:rPr>
      </w:pPr>
    </w:p>
    <w:p>
      <w:pPr>
        <w:pStyle w:val="11"/>
      </w:pPr>
    </w:p>
    <w:p>
      <w:pPr>
        <w:pStyle w:val="11"/>
      </w:pPr>
    </w:p>
    <w:p>
      <w:pPr>
        <w:pStyle w:val="21"/>
        <w:rPr>
          <w:rFonts w:hint="eastAsia"/>
        </w:rPr>
      </w:pPr>
    </w:p>
    <w:p>
      <w:pPr>
        <w:pStyle w:val="22"/>
        <w:rPr>
          <w:rFonts w:hint="eastAsia"/>
        </w:rPr>
      </w:pPr>
    </w:p>
    <w:p>
      <w:pPr>
        <w:pStyle w:val="23"/>
        <w:rPr>
          <w:rFonts w:hint="eastAsia"/>
        </w:rPr>
      </w:pPr>
      <w:bookmarkStart w:id="129" w:name="_Toc25234"/>
      <w:bookmarkStart w:id="130" w:name="_Toc5373"/>
      <w:bookmarkStart w:id="131" w:name="_Toc13021"/>
      <w:bookmarkStart w:id="132" w:name="_Toc27657"/>
      <w:bookmarkStart w:id="133" w:name="_Toc25418"/>
      <w:bookmarkStart w:id="134" w:name="_Toc29148"/>
      <w:bookmarkStart w:id="135" w:name="_Toc18897"/>
      <w:r>
        <w:rPr>
          <w:rFonts w:hint="eastAsia"/>
        </w:rPr>
        <w:br w:type="textWrapping"/>
      </w:r>
      <w:bookmarkStart w:id="136" w:name="_Toc107473437"/>
      <w:bookmarkStart w:id="137" w:name="_Toc111556055"/>
      <w:bookmarkStart w:id="138" w:name="_Toc107473234"/>
      <w:r>
        <w:rPr>
          <w:rFonts w:hint="eastAsia"/>
        </w:rPr>
        <w:t>（资料性）</w:t>
      </w:r>
      <w:r>
        <w:rPr>
          <w:rFonts w:hint="eastAsia"/>
        </w:rPr>
        <w:br w:type="textWrapping"/>
      </w:r>
      <w:bookmarkEnd w:id="129"/>
      <w:bookmarkEnd w:id="130"/>
      <w:bookmarkEnd w:id="131"/>
      <w:bookmarkEnd w:id="132"/>
      <w:bookmarkEnd w:id="133"/>
      <w:bookmarkEnd w:id="134"/>
      <w:r>
        <w:rPr>
          <w:rFonts w:hint="eastAsia"/>
        </w:rPr>
        <w:t>评估报告</w:t>
      </w:r>
      <w:bookmarkEnd w:id="135"/>
      <w:r>
        <w:rPr>
          <w:rFonts w:hint="eastAsia"/>
        </w:rPr>
        <w:t>示例</w:t>
      </w:r>
      <w:bookmarkEnd w:id="136"/>
      <w:bookmarkEnd w:id="137"/>
      <w:bookmarkEnd w:id="138"/>
    </w:p>
    <w:p>
      <w:pPr>
        <w:pStyle w:val="25"/>
        <w:spacing w:before="312" w:after="312"/>
      </w:pPr>
      <w:r>
        <w:rPr>
          <w:lang w:val="zh-CN"/>
        </w:rPr>
        <w:t>项目建议书</w:t>
      </w:r>
    </w:p>
    <w:p>
      <w:pPr>
        <w:pStyle w:val="11"/>
        <w:spacing w:before="156" w:beforeLines="50" w:after="156" w:afterLines="50"/>
        <w:ind w:firstLine="0" w:firstLineChars="0"/>
        <w:jc w:val="center"/>
        <w:rPr>
          <w:rFonts w:ascii="黑体" w:hAnsi="黑体" w:eastAsia="黑体" w:cs="黑体"/>
          <w:sz w:val="28"/>
          <w:szCs w:val="28"/>
          <w:lang w:val="zh-CN"/>
        </w:rPr>
      </w:pPr>
      <w:r>
        <w:rPr>
          <w:rFonts w:hint="eastAsia" w:ascii="黑体" w:hAnsi="黑体" w:eastAsia="黑体" w:cs="黑体"/>
          <w:sz w:val="28"/>
          <w:szCs w:val="28"/>
          <w:lang w:val="zh-CN"/>
        </w:rPr>
        <w:t>××</w:t>
      </w:r>
      <w:r>
        <w:rPr>
          <w:rFonts w:ascii="黑体" w:hAnsi="黑体" w:eastAsia="黑体" w:cs="黑体"/>
          <w:sz w:val="28"/>
          <w:szCs w:val="28"/>
          <w:lang w:val="zh-CN"/>
        </w:rPr>
        <w:t>项目建议书评</w:t>
      </w:r>
      <w:r>
        <w:rPr>
          <w:rFonts w:hint="eastAsia" w:ascii="黑体" w:hAnsi="黑体" w:eastAsia="黑体" w:cs="黑体"/>
          <w:sz w:val="28"/>
          <w:szCs w:val="28"/>
        </w:rPr>
        <w:t>估</w:t>
      </w:r>
      <w:r>
        <w:rPr>
          <w:rFonts w:ascii="黑体" w:hAnsi="黑体" w:eastAsia="黑体" w:cs="黑体"/>
          <w:sz w:val="28"/>
          <w:szCs w:val="28"/>
          <w:lang w:val="zh-CN"/>
        </w:rPr>
        <w:t>报告（示例）</w:t>
      </w:r>
    </w:p>
    <w:p>
      <w:pPr>
        <w:spacing w:line="400" w:lineRule="exac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投资主管部门</w:t>
      </w:r>
      <w:r>
        <w:rPr>
          <w:rFonts w:hint="eastAsia" w:ascii="宋体" w:hAnsi="宋体" w:cs="宋体"/>
          <w:szCs w:val="21"/>
          <w:lang w:val="zh-CN"/>
        </w:rPr>
        <w:t>）：</w:t>
      </w:r>
    </w:p>
    <w:p>
      <w:pPr>
        <w:spacing w:line="400" w:lineRule="exact"/>
        <w:ind w:firstLine="480"/>
        <w:rPr>
          <w:rFonts w:ascii="宋体" w:hAnsi="宋体" w:cs="宋体"/>
          <w:szCs w:val="21"/>
          <w:lang w:val="zh-CN"/>
        </w:rPr>
      </w:pPr>
      <w:r>
        <w:rPr>
          <w:rFonts w:hint="eastAsia" w:ascii="宋体" w:hAnsi="宋体" w:cs="宋体"/>
          <w:szCs w:val="21"/>
          <w:lang w:val="zh-CN"/>
        </w:rPr>
        <w:t>受贵</w:t>
      </w:r>
      <w:r>
        <w:rPr>
          <w:rFonts w:hint="eastAsia" w:ascii="宋体" w:hAnsi="宋体" w:cs="宋体"/>
          <w:szCs w:val="21"/>
        </w:rPr>
        <w:t>单位</w:t>
      </w:r>
      <w:r>
        <w:rPr>
          <w:rFonts w:hint="eastAsia" w:ascii="宋体" w:hAnsi="宋体" w:cs="宋体"/>
          <w:szCs w:val="21"/>
          <w:lang w:val="zh-CN"/>
        </w:rPr>
        <w:t>委托，我中心（</w:t>
      </w:r>
      <w:r>
        <w:rPr>
          <w:rFonts w:hint="eastAsia" w:ascii="宋体" w:hAnsi="宋体" w:cs="宋体"/>
          <w:szCs w:val="21"/>
        </w:rPr>
        <w:t>公司</w:t>
      </w:r>
      <w:r>
        <w:rPr>
          <w:rFonts w:hint="eastAsia" w:ascii="宋体" w:hAnsi="宋体" w:cs="宋体"/>
          <w:szCs w:val="21"/>
          <w:lang w:val="zh-CN"/>
        </w:rPr>
        <w:t>）对《××项目建议书》（以下简称《项目建议书》）进行了评估。现将评估情况报告如下：</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rPr>
        <w:t>一、</w:t>
      </w:r>
      <w:r>
        <w:rPr>
          <w:rFonts w:hint="eastAsia" w:ascii="黑体" w:hAnsi="黑体" w:eastAsia="黑体" w:cs="黑体"/>
          <w:szCs w:val="21"/>
          <w:lang w:val="zh-CN"/>
        </w:rPr>
        <w:t>评估项目摘要</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（一）建设</w:t>
      </w:r>
      <w:r>
        <w:rPr>
          <w:rFonts w:hint="eastAsia" w:ascii="黑体" w:hAnsi="黑体" w:eastAsia="黑体" w:cs="黑体"/>
          <w:szCs w:val="21"/>
        </w:rPr>
        <w:t>背景和</w:t>
      </w:r>
      <w:r>
        <w:rPr>
          <w:rFonts w:hint="eastAsia" w:ascii="黑体" w:hAnsi="黑体" w:eastAsia="黑体" w:cs="黑体"/>
          <w:szCs w:val="21"/>
          <w:lang w:val="zh-CN"/>
        </w:rPr>
        <w:t>必要性</w:t>
      </w:r>
    </w:p>
    <w:p>
      <w:pPr>
        <w:spacing w:line="400" w:lineRule="exact"/>
        <w:ind w:firstLine="480"/>
        <w:rPr>
          <w:rFonts w:ascii="宋体" w:hAnsi="宋体" w:cs="宋体"/>
          <w:szCs w:val="21"/>
          <w:lang w:val="zh-CN"/>
        </w:rPr>
      </w:pPr>
      <w:r>
        <w:rPr>
          <w:rFonts w:hint="eastAsia" w:ascii="宋体" w:hAnsi="宋体" w:cs="宋体"/>
          <w:szCs w:val="21"/>
          <w:lang w:val="zh-CN"/>
        </w:rPr>
        <w:t>简要说明拟建项目建设</w:t>
      </w:r>
      <w:r>
        <w:rPr>
          <w:rFonts w:hint="eastAsia" w:ascii="宋体" w:hAnsi="宋体" w:cs="宋体"/>
          <w:szCs w:val="21"/>
        </w:rPr>
        <w:t>背景、</w:t>
      </w:r>
      <w:r>
        <w:rPr>
          <w:rFonts w:hint="eastAsia" w:ascii="宋体" w:hAnsi="宋体" w:cs="宋体"/>
          <w:szCs w:val="21"/>
          <w:lang w:val="zh-CN"/>
        </w:rPr>
        <w:t>必要性等主要内容。</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（二）建设规模及内容</w:t>
      </w:r>
    </w:p>
    <w:p>
      <w:pPr>
        <w:spacing w:line="400" w:lineRule="exact"/>
        <w:ind w:firstLine="480"/>
        <w:rPr>
          <w:rFonts w:ascii="宋体" w:hAnsi="宋体" w:cs="宋体"/>
          <w:szCs w:val="21"/>
          <w:lang w:val="zh-CN"/>
        </w:rPr>
      </w:pPr>
      <w:r>
        <w:rPr>
          <w:rFonts w:hint="eastAsia" w:ascii="宋体" w:hAnsi="宋体" w:cs="宋体"/>
          <w:szCs w:val="21"/>
          <w:lang w:val="zh-CN"/>
        </w:rPr>
        <w:t>摘录拟建项目</w:t>
      </w:r>
      <w:r>
        <w:rPr>
          <w:rFonts w:hint="eastAsia" w:ascii="宋体" w:hAnsi="宋体" w:cs="宋体"/>
          <w:szCs w:val="21"/>
        </w:rPr>
        <w:t>需求分析、</w:t>
      </w:r>
      <w:r>
        <w:rPr>
          <w:rFonts w:hint="eastAsia" w:ascii="宋体" w:hAnsi="宋体" w:cs="宋体"/>
          <w:szCs w:val="21"/>
          <w:lang w:val="zh-CN"/>
        </w:rPr>
        <w:t>建设地址、用地规模、建筑规模、各单项工程等主要内容。</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（三）总投资及资金来源</w:t>
      </w:r>
    </w:p>
    <w:p>
      <w:pPr>
        <w:spacing w:line="400" w:lineRule="exact"/>
        <w:ind w:firstLine="480"/>
        <w:rPr>
          <w:rFonts w:ascii="宋体" w:hAnsi="宋体" w:cs="宋体"/>
          <w:szCs w:val="21"/>
          <w:lang w:val="zh-CN"/>
        </w:rPr>
      </w:pPr>
      <w:r>
        <w:rPr>
          <w:rFonts w:hint="eastAsia" w:ascii="宋体" w:hAnsi="宋体" w:cs="宋体"/>
          <w:szCs w:val="21"/>
          <w:lang w:val="zh-CN"/>
        </w:rPr>
        <w:t>摘录拟建项目投资匡算及资金筹措方式、投资需求和融资方案等主要内容。</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二、评估概况及依据</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（一）评估概况</w:t>
      </w:r>
    </w:p>
    <w:p>
      <w:pPr>
        <w:spacing w:line="400" w:lineRule="exact"/>
        <w:ind w:firstLine="480"/>
        <w:rPr>
          <w:rFonts w:ascii="宋体" w:hAnsi="宋体" w:cs="宋体"/>
          <w:szCs w:val="21"/>
          <w:lang w:val="zh-CN"/>
        </w:rPr>
      </w:pPr>
      <w:r>
        <w:rPr>
          <w:rFonts w:hint="eastAsia" w:ascii="宋体" w:hAnsi="宋体" w:cs="宋体"/>
          <w:szCs w:val="21"/>
          <w:lang w:val="zh-CN"/>
        </w:rPr>
        <w:t>说明项目建议书评估的全部流程，说明评估过程中的</w:t>
      </w:r>
      <w:r>
        <w:rPr>
          <w:rFonts w:hint="eastAsia" w:ascii="宋体" w:hAnsi="宋体" w:cs="宋体"/>
          <w:szCs w:val="21"/>
        </w:rPr>
        <w:t>关键</w:t>
      </w:r>
      <w:r>
        <w:rPr>
          <w:rFonts w:hint="eastAsia" w:ascii="宋体" w:hAnsi="宋体" w:cs="宋体"/>
          <w:szCs w:val="21"/>
          <w:lang w:val="zh-CN"/>
        </w:rPr>
        <w:t>时间节点、主要评估活动和重点工作内容。</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（二）评估依据</w:t>
      </w:r>
    </w:p>
    <w:p>
      <w:pPr>
        <w:ind w:firstLine="420" w:firstLineChars="200"/>
        <w:rPr>
          <w:rFonts w:ascii="宋体" w:hAnsi="宋体" w:cs="宋体"/>
          <w:szCs w:val="21"/>
          <w:lang w:val="zh-CN"/>
        </w:rPr>
      </w:pPr>
      <w:r>
        <w:rPr>
          <w:rFonts w:hint="eastAsia" w:ascii="宋体" w:hAnsi="宋体" w:cs="宋体"/>
          <w:szCs w:val="21"/>
          <w:lang w:val="zh-CN"/>
        </w:rPr>
        <w:t>分类列举评估依据。</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三、具体评估意见</w:t>
      </w:r>
    </w:p>
    <w:p>
      <w:pPr>
        <w:spacing w:line="400" w:lineRule="exact"/>
        <w:ind w:firstLine="480"/>
        <w:rPr>
          <w:rFonts w:ascii="宋体" w:hAnsi="宋体" w:cs="宋体"/>
          <w:szCs w:val="21"/>
          <w:lang w:val="zh-CN"/>
        </w:rPr>
      </w:pPr>
      <w:r>
        <w:rPr>
          <w:rFonts w:hint="eastAsia" w:ascii="宋体" w:hAnsi="宋体" w:cs="宋体"/>
          <w:szCs w:val="21"/>
          <w:lang w:val="zh-CN"/>
        </w:rPr>
        <w:t>本部分具体内容要分三段式叙述，第一段摘抄文本（修改终稿）叙述的内容，第二段描述采纳专家主要意见修改的内容，第三段作出评估结论。</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（一）建设</w:t>
      </w:r>
      <w:r>
        <w:rPr>
          <w:rFonts w:hint="eastAsia" w:ascii="黑体" w:hAnsi="黑体" w:eastAsia="黑体" w:cs="黑体"/>
          <w:szCs w:val="21"/>
        </w:rPr>
        <w:t>背景和</w:t>
      </w:r>
      <w:r>
        <w:rPr>
          <w:rFonts w:hint="eastAsia" w:ascii="黑体" w:hAnsi="黑体" w:eastAsia="黑体" w:cs="黑体"/>
          <w:szCs w:val="21"/>
          <w:lang w:val="zh-CN"/>
        </w:rPr>
        <w:t>必要性</w:t>
      </w:r>
    </w:p>
    <w:p>
      <w:pPr>
        <w:spacing w:line="400" w:lineRule="exact"/>
        <w:ind w:firstLine="480"/>
        <w:rPr>
          <w:rFonts w:ascii="宋体" w:hAnsi="宋体" w:cs="宋体"/>
          <w:szCs w:val="21"/>
          <w:lang w:val="zh-CN"/>
        </w:rPr>
      </w:pPr>
      <w:r>
        <w:rPr>
          <w:rFonts w:hint="eastAsia" w:ascii="宋体" w:hAnsi="宋体" w:cs="宋体"/>
          <w:szCs w:val="21"/>
          <w:lang w:val="zh-CN"/>
        </w:rPr>
        <w:t>具体说明“项目建设背景”、“</w:t>
      </w:r>
      <w:r>
        <w:rPr>
          <w:rFonts w:hint="eastAsia" w:ascii="宋体" w:hAnsi="宋体" w:cs="宋体"/>
          <w:szCs w:val="21"/>
        </w:rPr>
        <w:t>规划政策符合性</w:t>
      </w:r>
      <w:r>
        <w:rPr>
          <w:rFonts w:hint="eastAsia" w:ascii="宋体" w:hAnsi="宋体" w:cs="宋体"/>
          <w:szCs w:val="21"/>
          <w:lang w:val="zh-CN"/>
        </w:rPr>
        <w:t>”及“</w:t>
      </w:r>
      <w:r>
        <w:rPr>
          <w:rFonts w:hint="eastAsia" w:ascii="宋体" w:hAnsi="宋体" w:cs="宋体"/>
          <w:szCs w:val="21"/>
        </w:rPr>
        <w:t>项目建设</w:t>
      </w:r>
      <w:r>
        <w:rPr>
          <w:rFonts w:hint="eastAsia" w:ascii="宋体" w:hAnsi="宋体" w:cs="宋体"/>
          <w:szCs w:val="21"/>
          <w:lang w:val="zh-CN"/>
        </w:rPr>
        <w:t>必要性”。</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（二）</w:t>
      </w:r>
      <w:r>
        <w:rPr>
          <w:rFonts w:hint="eastAsia" w:ascii="黑体" w:eastAsia="黑体"/>
          <w:kern w:val="21"/>
        </w:rPr>
        <w:t>项目需求分析与产出方案评估</w:t>
      </w:r>
    </w:p>
    <w:p>
      <w:pPr>
        <w:spacing w:line="400" w:lineRule="exact"/>
        <w:ind w:firstLine="480"/>
        <w:rPr>
          <w:rFonts w:ascii="宋体" w:hAnsi="宋体" w:cs="宋体"/>
          <w:szCs w:val="21"/>
          <w:lang w:val="zh-CN"/>
        </w:rPr>
      </w:pPr>
      <w:r>
        <w:rPr>
          <w:rFonts w:hint="eastAsia"/>
        </w:rPr>
        <w:t>重点审查研究提出的拟建项目近期和远期目标、产品或服务的需求总量及结构等</w:t>
      </w:r>
      <w:r>
        <w:rPr>
          <w:rFonts w:hint="eastAsia" w:ascii="宋体" w:hAnsi="宋体" w:cs="宋体"/>
          <w:szCs w:val="21"/>
          <w:lang w:val="zh-CN"/>
        </w:rPr>
        <w:t>。</w:t>
      </w:r>
    </w:p>
    <w:p>
      <w:pPr>
        <w:spacing w:line="400" w:lineRule="exact"/>
        <w:ind w:firstLine="420" w:firstLineChars="200"/>
        <w:rPr>
          <w:rFonts w:ascii="黑体" w:hAnsi="黑体" w:eastAsia="黑体" w:cs="黑体"/>
          <w:szCs w:val="21"/>
        </w:rPr>
      </w:pPr>
      <w:r>
        <w:rPr>
          <w:rFonts w:hint="eastAsia" w:ascii="黑体" w:hAnsi="黑体" w:eastAsia="黑体" w:cs="黑体"/>
          <w:szCs w:val="21"/>
          <w:lang w:val="zh-CN"/>
        </w:rPr>
        <w:t>（三）</w:t>
      </w:r>
      <w:r>
        <w:rPr>
          <w:rFonts w:hint="eastAsia" w:ascii="黑体" w:hAnsi="黑体" w:eastAsia="黑体" w:cs="黑体"/>
          <w:szCs w:val="21"/>
        </w:rPr>
        <w:t>投融资和财务方案</w:t>
      </w:r>
    </w:p>
    <w:p>
      <w:pPr>
        <w:spacing w:line="400" w:lineRule="exact"/>
        <w:ind w:firstLine="480"/>
        <w:rPr>
          <w:rFonts w:ascii="宋体" w:hAnsi="宋体" w:cs="宋体"/>
          <w:szCs w:val="21"/>
          <w:lang w:val="zh-CN"/>
        </w:rPr>
      </w:pPr>
      <w:r>
        <w:rPr>
          <w:rFonts w:hint="eastAsia" w:ascii="宋体" w:hAnsi="宋体" w:cs="宋体"/>
          <w:szCs w:val="21"/>
          <w:lang w:val="zh-CN"/>
        </w:rPr>
        <w:t>阐述在明确项目产出方案、建设方案和运营方案的基础上，研究项目投资需求和融资方案</w:t>
      </w:r>
      <w:r>
        <w:rPr>
          <w:rFonts w:hint="eastAsia" w:ascii="宋体" w:hAnsi="宋体" w:cs="宋体"/>
          <w:szCs w:val="21"/>
        </w:rPr>
        <w:t>的合理性</w:t>
      </w:r>
      <w:r>
        <w:rPr>
          <w:rFonts w:hint="eastAsia" w:ascii="宋体" w:hAnsi="宋体" w:cs="宋体"/>
          <w:szCs w:val="21"/>
          <w:lang w:val="zh-CN"/>
        </w:rPr>
        <w:t>。</w:t>
      </w:r>
    </w:p>
    <w:p>
      <w:pPr>
        <w:tabs>
          <w:tab w:val="left" w:pos="312"/>
        </w:tabs>
        <w:spacing w:line="400" w:lineRule="exact"/>
        <w:ind w:firstLine="420" w:firstLineChars="200"/>
        <w:rPr>
          <w:rFonts w:ascii="黑体" w:hAnsi="黑体" w:eastAsia="黑体" w:cs="黑体"/>
          <w:szCs w:val="21"/>
        </w:rPr>
      </w:pPr>
      <w:r>
        <w:rPr>
          <w:rFonts w:hint="eastAsia" w:ascii="黑体" w:hAnsi="黑体" w:eastAsia="黑体" w:cs="黑体"/>
          <w:szCs w:val="21"/>
        </w:rPr>
        <w:t>（四）项目影响效果分析</w:t>
      </w:r>
    </w:p>
    <w:p>
      <w:pPr>
        <w:spacing w:line="400" w:lineRule="exact"/>
        <w:ind w:firstLine="480"/>
      </w:pPr>
      <w:r>
        <w:rPr>
          <w:rFonts w:hint="eastAsia"/>
        </w:rPr>
        <w:t>重视经济社会、资源环境等外部影响效果的评价，注意与专项评价结果的衔接。</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四、结论及建议</w:t>
      </w:r>
    </w:p>
    <w:p>
      <w:pPr>
        <w:spacing w:line="400" w:lineRule="exact"/>
        <w:ind w:firstLine="480"/>
        <w:rPr>
          <w:rFonts w:ascii="宋体" w:hAnsi="宋体" w:cs="宋体"/>
          <w:szCs w:val="21"/>
          <w:lang w:val="zh-CN"/>
        </w:rPr>
      </w:pPr>
      <w:r>
        <w:rPr>
          <w:rFonts w:hint="eastAsia" w:ascii="宋体" w:hAnsi="宋体" w:cs="宋体"/>
          <w:szCs w:val="21"/>
          <w:lang w:val="zh-CN"/>
        </w:rPr>
        <w:t>总结阐述拟建项目《项目建议书》的总体评估结论，论述项目建设必要性、规模和内容合理性、投资匡算准确性、</w:t>
      </w:r>
      <w:r>
        <w:rPr>
          <w:rFonts w:hint="eastAsia" w:ascii="宋体" w:hAnsi="宋体" w:cs="宋体"/>
          <w:szCs w:val="21"/>
        </w:rPr>
        <w:t>效果分析评价</w:t>
      </w:r>
      <w:r>
        <w:rPr>
          <w:rFonts w:hint="eastAsia" w:ascii="宋体" w:hAnsi="宋体" w:cs="宋体"/>
          <w:szCs w:val="21"/>
          <w:lang w:val="zh-CN"/>
        </w:rPr>
        <w:t>等。</w:t>
      </w:r>
    </w:p>
    <w:p>
      <w:pPr>
        <w:spacing w:line="400" w:lineRule="exact"/>
        <w:ind w:firstLine="480"/>
        <w:rPr>
          <w:rFonts w:ascii="宋体" w:hAnsi="宋体" w:cs="宋体"/>
          <w:szCs w:val="21"/>
          <w:lang w:val="zh-CN"/>
        </w:rPr>
      </w:pPr>
      <w:r>
        <w:rPr>
          <w:rFonts w:hint="eastAsia" w:ascii="宋体" w:hAnsi="宋体" w:cs="宋体"/>
          <w:szCs w:val="21"/>
          <w:lang w:val="zh-CN"/>
        </w:rPr>
        <w:t>对专家组及专家提出的修改意见未采纳或采纳不到位的部分，提出在下一阶段完善的意见和建议。</w:t>
      </w:r>
    </w:p>
    <w:p>
      <w:pPr>
        <w:spacing w:line="400" w:lineRule="exact"/>
        <w:ind w:firstLine="420" w:firstLineChars="200"/>
        <w:rPr>
          <w:rFonts w:ascii="黑体" w:hAnsi="黑体" w:eastAsia="黑体" w:cs="黑体"/>
          <w:szCs w:val="21"/>
          <w:lang w:val="zh-CN"/>
        </w:rPr>
      </w:pPr>
      <w:r>
        <w:rPr>
          <w:rFonts w:hint="eastAsia" w:ascii="黑体" w:hAnsi="黑体" w:eastAsia="黑体" w:cs="黑体"/>
          <w:szCs w:val="21"/>
          <w:lang w:val="zh-CN"/>
        </w:rPr>
        <w:t>附表：</w:t>
      </w:r>
    </w:p>
    <w:p>
      <w:pPr>
        <w:spacing w:line="400" w:lineRule="exact"/>
        <w:ind w:firstLine="480"/>
        <w:rPr>
          <w:rFonts w:ascii="宋体" w:hAnsi="宋体" w:cs="宋体"/>
          <w:szCs w:val="21"/>
          <w:lang w:val="zh-CN"/>
        </w:rPr>
      </w:pPr>
      <w:r>
        <w:rPr>
          <w:rFonts w:hint="eastAsia" w:ascii="宋体" w:hAnsi="宋体" w:cs="宋体"/>
          <w:szCs w:val="21"/>
          <w:lang w:val="zh-CN"/>
        </w:rPr>
        <w:t>项目总投资匡算表</w:t>
      </w: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spacing w:line="400" w:lineRule="exact"/>
        <w:ind w:firstLine="420" w:firstLineChars="200"/>
        <w:rPr>
          <w:rFonts w:hint="eastAsia" w:ascii="宋体" w:hAnsi="宋体" w:cs="宋体"/>
          <w:szCs w:val="21"/>
          <w:lang w:val="zh-CN"/>
        </w:rPr>
      </w:pPr>
    </w:p>
    <w:p>
      <w:pPr>
        <w:pStyle w:val="2"/>
        <w:rPr>
          <w:rFonts w:hint="eastAsia"/>
          <w:lang w:val="zh-CN"/>
        </w:rPr>
      </w:pPr>
    </w:p>
    <w:p>
      <w:pPr>
        <w:pStyle w:val="2"/>
        <w:rPr>
          <w:rFonts w:hint="eastAsia"/>
          <w:lang w:val="zh-CN"/>
        </w:rPr>
      </w:pPr>
    </w:p>
    <w:p>
      <w:pPr>
        <w:spacing w:line="400" w:lineRule="exact"/>
        <w:ind w:firstLine="420" w:firstLineChars="200"/>
        <w:rPr>
          <w:rFonts w:ascii="宋体" w:hAnsi="宋体" w:cs="宋体"/>
          <w:szCs w:val="21"/>
        </w:rPr>
      </w:pPr>
    </w:p>
    <w:p>
      <w:pPr>
        <w:pStyle w:val="25"/>
        <w:spacing w:before="312" w:after="312"/>
      </w:pPr>
      <w:r>
        <w:rPr>
          <w:lang w:val="zh-CN"/>
        </w:rPr>
        <w:t>可行性研究报告</w:t>
      </w:r>
    </w:p>
    <w:p>
      <w:pPr>
        <w:pStyle w:val="11"/>
        <w:widowControl w:val="0"/>
        <w:spacing w:before="156" w:beforeLines="50" w:after="156" w:afterLines="50"/>
        <w:ind w:firstLine="0" w:firstLineChars="0"/>
        <w:jc w:val="center"/>
        <w:rPr>
          <w:rFonts w:ascii="黑体" w:hAnsi="黑体" w:eastAsia="黑体"/>
          <w:sz w:val="28"/>
          <w:szCs w:val="28"/>
        </w:rPr>
      </w:pPr>
      <w:r>
        <w:rPr>
          <w:rFonts w:hint="eastAsia" w:ascii="黑体" w:hAnsi="黑体" w:eastAsia="黑体"/>
          <w:sz w:val="28"/>
          <w:szCs w:val="28"/>
        </w:rPr>
        <w:t>××项目可行性研究报告评估报告示例（建筑类项目）</w:t>
      </w:r>
    </w:p>
    <w:p>
      <w:pPr>
        <w:spacing w:line="400" w:lineRule="exact"/>
        <w:ind w:firstLine="480"/>
        <w:rPr>
          <w:rFonts w:hint="eastAsia" w:ascii="宋体" w:hAnsi="宋体" w:cs="宋体"/>
          <w:szCs w:val="21"/>
          <w:lang w:val="zh-CN"/>
        </w:rPr>
      </w:pPr>
      <w:r>
        <w:rPr>
          <w:rFonts w:hint="eastAsia" w:ascii="宋体" w:hAnsi="宋体" w:cs="宋体"/>
          <w:szCs w:val="21"/>
          <w:lang w:val="zh-CN"/>
        </w:rPr>
        <w:t>（投资主管部门）：</w:t>
      </w:r>
    </w:p>
    <w:p>
      <w:pPr>
        <w:spacing w:line="400" w:lineRule="exact"/>
        <w:ind w:firstLine="480"/>
        <w:rPr>
          <w:rFonts w:hint="eastAsia" w:ascii="宋体" w:hAnsi="宋体" w:cs="宋体"/>
          <w:szCs w:val="21"/>
          <w:lang w:val="zh-CN"/>
        </w:rPr>
      </w:pPr>
      <w:r>
        <w:rPr>
          <w:rFonts w:hint="eastAsia" w:ascii="宋体" w:hAnsi="宋体" w:cs="宋体"/>
          <w:szCs w:val="21"/>
          <w:lang w:val="zh-CN"/>
        </w:rPr>
        <w:t>受贵单位委托，我中心（公司）对《××可行性研究报告》（以下简称《可研报告》）进行了评估。现将评估情况报告如下：</w:t>
      </w:r>
    </w:p>
    <w:p>
      <w:pPr>
        <w:spacing w:line="400" w:lineRule="exact"/>
        <w:ind w:firstLine="480"/>
        <w:rPr>
          <w:rFonts w:hint="eastAsia" w:ascii="黑体" w:hAnsi="黑体" w:eastAsia="黑体" w:cs="宋体"/>
          <w:szCs w:val="21"/>
          <w:lang w:val="zh-CN"/>
        </w:rPr>
      </w:pPr>
      <w:r>
        <w:rPr>
          <w:rFonts w:hint="eastAsia" w:ascii="黑体" w:hAnsi="黑体" w:eastAsia="黑体" w:cs="宋体"/>
          <w:szCs w:val="21"/>
          <w:lang w:val="zh-CN"/>
        </w:rPr>
        <w:t>一、评估项目摘要</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（一）建设必要性</w:t>
      </w:r>
    </w:p>
    <w:p>
      <w:pPr>
        <w:spacing w:line="400" w:lineRule="exact"/>
        <w:ind w:firstLine="480"/>
        <w:rPr>
          <w:rFonts w:hint="eastAsia" w:ascii="宋体" w:hAnsi="宋体" w:cs="宋体"/>
          <w:szCs w:val="21"/>
          <w:lang w:val="zh-CN"/>
        </w:rPr>
      </w:pPr>
      <w:r>
        <w:rPr>
          <w:rFonts w:hint="eastAsia" w:ascii="宋体" w:hAnsi="宋体" w:cs="宋体"/>
          <w:szCs w:val="21"/>
          <w:lang w:val="zh-CN"/>
        </w:rPr>
        <w:t>简要说明拟建项目建设必要性主要内容。</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（二）建设内容及规模</w:t>
      </w:r>
    </w:p>
    <w:p>
      <w:pPr>
        <w:spacing w:line="400" w:lineRule="exact"/>
        <w:ind w:firstLine="480"/>
        <w:rPr>
          <w:rFonts w:hint="eastAsia" w:ascii="宋体" w:hAnsi="宋体" w:cs="宋体"/>
          <w:szCs w:val="21"/>
          <w:lang w:val="zh-CN"/>
        </w:rPr>
      </w:pPr>
      <w:r>
        <w:rPr>
          <w:rFonts w:hint="eastAsia" w:ascii="宋体" w:hAnsi="宋体" w:cs="宋体"/>
          <w:szCs w:val="21"/>
          <w:lang w:val="zh-CN"/>
        </w:rPr>
        <w:t>摘录本项目建设地址、用地规模、建筑规模、各单项工程等主要内容。</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（三）工程技术方案</w:t>
      </w:r>
    </w:p>
    <w:p>
      <w:pPr>
        <w:spacing w:line="400" w:lineRule="exact"/>
        <w:ind w:firstLine="480"/>
        <w:rPr>
          <w:rFonts w:hint="eastAsia" w:ascii="宋体" w:hAnsi="宋体" w:cs="宋体"/>
          <w:szCs w:val="21"/>
          <w:lang w:val="zh-CN"/>
        </w:rPr>
      </w:pPr>
      <w:r>
        <w:rPr>
          <w:rFonts w:hint="eastAsia" w:ascii="宋体" w:hAnsi="宋体" w:cs="宋体"/>
          <w:szCs w:val="21"/>
          <w:lang w:val="zh-CN"/>
        </w:rPr>
        <w:t>简要概括说明各主要建设内容的专业技术方案等。</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（四）总投资及资金来源</w:t>
      </w:r>
    </w:p>
    <w:p>
      <w:pPr>
        <w:spacing w:line="400" w:lineRule="exact"/>
        <w:ind w:firstLine="480"/>
        <w:rPr>
          <w:rFonts w:hint="eastAsia" w:ascii="宋体" w:hAnsi="宋体" w:cs="宋体"/>
          <w:szCs w:val="21"/>
          <w:lang w:val="zh-CN"/>
        </w:rPr>
      </w:pPr>
      <w:r>
        <w:rPr>
          <w:rFonts w:hint="eastAsia" w:ascii="宋体" w:hAnsi="宋体" w:cs="宋体"/>
          <w:szCs w:val="21"/>
          <w:lang w:val="zh-CN"/>
        </w:rPr>
        <w:t>摘录本项目总投资估算、分项工程费用及资金筹措方式等主要内容。</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二、评估概况及依据</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（一）评估概况</w:t>
      </w:r>
    </w:p>
    <w:p>
      <w:pPr>
        <w:spacing w:line="400" w:lineRule="exact"/>
        <w:ind w:firstLine="480"/>
        <w:rPr>
          <w:rFonts w:hint="eastAsia" w:ascii="宋体" w:hAnsi="宋体" w:cs="宋体"/>
          <w:szCs w:val="21"/>
          <w:lang w:val="zh-CN"/>
        </w:rPr>
      </w:pPr>
      <w:r>
        <w:rPr>
          <w:rFonts w:hint="eastAsia" w:ascii="宋体" w:hAnsi="宋体" w:cs="宋体"/>
          <w:szCs w:val="21"/>
          <w:lang w:val="zh-CN"/>
        </w:rPr>
        <w:t>说明项目可研报告评估的全部流程，说明评估过程中的关键时间节点、主要评估活动和重点工作内容。</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（二）评估依据</w:t>
      </w:r>
    </w:p>
    <w:p>
      <w:pPr>
        <w:spacing w:line="400" w:lineRule="exact"/>
        <w:ind w:firstLine="480"/>
        <w:rPr>
          <w:rFonts w:hint="eastAsia" w:ascii="宋体" w:hAnsi="宋体" w:cs="宋体"/>
          <w:szCs w:val="21"/>
          <w:lang w:val="zh-CN"/>
        </w:rPr>
      </w:pPr>
      <w:r>
        <w:rPr>
          <w:rFonts w:hint="eastAsia" w:ascii="宋体" w:hAnsi="宋体" w:cs="宋体"/>
          <w:szCs w:val="21"/>
          <w:lang w:val="zh-CN"/>
        </w:rPr>
        <w:t>分类列举主要评估依据，评估工作主要依据为：</w:t>
      </w:r>
    </w:p>
    <w:p>
      <w:pPr>
        <w:spacing w:line="400" w:lineRule="exact"/>
        <w:ind w:firstLine="480"/>
        <w:rPr>
          <w:rFonts w:hint="eastAsia" w:ascii="宋体" w:hAnsi="宋体" w:cs="宋体"/>
          <w:szCs w:val="21"/>
          <w:lang w:val="zh-CN"/>
        </w:rPr>
      </w:pPr>
      <w:r>
        <w:rPr>
          <w:rFonts w:hint="eastAsia" w:ascii="宋体" w:hAnsi="宋体" w:cs="宋体"/>
          <w:szCs w:val="21"/>
          <w:lang w:val="zh-CN"/>
        </w:rPr>
        <w:t>1.项目建议书的批复文件、国家和地方有关支持性规划、产业政策和行业准入条件、主要标准规范、专题研究成果，以及其他依据；</w:t>
      </w:r>
    </w:p>
    <w:p>
      <w:pPr>
        <w:spacing w:line="400" w:lineRule="exact"/>
        <w:ind w:firstLine="480"/>
        <w:rPr>
          <w:rFonts w:hint="eastAsia" w:ascii="宋体" w:hAnsi="宋体" w:cs="宋体"/>
          <w:szCs w:val="21"/>
          <w:lang w:val="zh-CN"/>
        </w:rPr>
      </w:pPr>
      <w:r>
        <w:rPr>
          <w:rFonts w:hint="eastAsia" w:ascii="宋体" w:hAnsi="宋体" w:cs="宋体"/>
          <w:szCs w:val="21"/>
          <w:lang w:val="zh-CN"/>
        </w:rPr>
        <w:t>2.《政府投资项目可行性研究报告编写通用大纲》“三大目标，七个维度”的基础性要求，以及所属行业可行性研究报告编制相关规定的专业性要求；</w:t>
      </w:r>
    </w:p>
    <w:p>
      <w:pPr>
        <w:spacing w:line="400" w:lineRule="exact"/>
        <w:ind w:firstLine="480"/>
        <w:rPr>
          <w:rFonts w:hint="eastAsia" w:ascii="宋体" w:hAnsi="宋体" w:cs="宋体"/>
          <w:szCs w:val="21"/>
          <w:lang w:val="zh-CN"/>
        </w:rPr>
      </w:pPr>
      <w:r>
        <w:rPr>
          <w:rFonts w:hint="eastAsia" w:ascii="宋体" w:hAnsi="宋体" w:cs="宋体"/>
          <w:szCs w:val="21"/>
          <w:lang w:val="zh-CN"/>
        </w:rPr>
        <w:t>3.工程方面的标准、规范；</w:t>
      </w:r>
    </w:p>
    <w:p>
      <w:pPr>
        <w:spacing w:line="400" w:lineRule="exact"/>
        <w:ind w:firstLine="480"/>
        <w:rPr>
          <w:rFonts w:hint="eastAsia" w:ascii="宋体" w:hAnsi="宋体" w:cs="宋体"/>
          <w:szCs w:val="21"/>
          <w:lang w:val="zh-CN"/>
        </w:rPr>
      </w:pPr>
      <w:r>
        <w:rPr>
          <w:rFonts w:hint="eastAsia" w:ascii="宋体" w:hAnsi="宋体" w:cs="宋体"/>
          <w:szCs w:val="21"/>
          <w:lang w:val="zh-CN"/>
        </w:rPr>
        <w:t>4.估算方面的标准、定额；</w:t>
      </w:r>
    </w:p>
    <w:p>
      <w:pPr>
        <w:spacing w:line="400" w:lineRule="exact"/>
        <w:ind w:firstLine="480"/>
        <w:rPr>
          <w:rFonts w:hint="eastAsia" w:ascii="宋体" w:hAnsi="宋体" w:cs="宋体"/>
          <w:szCs w:val="21"/>
          <w:lang w:val="zh-CN"/>
        </w:rPr>
      </w:pPr>
      <w:r>
        <w:rPr>
          <w:rFonts w:hint="eastAsia" w:ascii="宋体" w:hAnsi="宋体" w:cs="宋体"/>
          <w:szCs w:val="21"/>
          <w:lang w:val="zh-CN"/>
        </w:rPr>
        <w:t>5.其他。</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三、项目建议书批复及执行情况</w:t>
      </w:r>
    </w:p>
    <w:p>
      <w:pPr>
        <w:spacing w:line="400" w:lineRule="exact"/>
        <w:ind w:firstLine="480"/>
        <w:rPr>
          <w:rFonts w:hint="eastAsia" w:ascii="宋体" w:hAnsi="宋体" w:cs="宋体"/>
          <w:szCs w:val="21"/>
          <w:lang w:val="zh-CN"/>
        </w:rPr>
      </w:pPr>
      <w:r>
        <w:rPr>
          <w:rFonts w:hint="eastAsia" w:ascii="宋体" w:hAnsi="宋体" w:cs="宋体"/>
          <w:szCs w:val="21"/>
          <w:lang w:val="zh-CN"/>
        </w:rPr>
        <w:t>若前期已批建议书，说明项目建议书批复的主要内容和本次可行性研究报告提出的建设内容、规模和投资，并明确指出两者之间存在的不同。</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四、具体评估意见</w:t>
      </w:r>
    </w:p>
    <w:p>
      <w:pPr>
        <w:spacing w:line="400" w:lineRule="exact"/>
        <w:ind w:firstLine="480"/>
        <w:rPr>
          <w:rFonts w:hint="eastAsia" w:ascii="宋体" w:hAnsi="宋体" w:cs="宋体"/>
          <w:szCs w:val="21"/>
          <w:lang w:val="zh-CN"/>
        </w:rPr>
      </w:pPr>
      <w:r>
        <w:rPr>
          <w:rFonts w:hint="eastAsia" w:ascii="宋体" w:hAnsi="宋体" w:cs="宋体"/>
          <w:szCs w:val="21"/>
          <w:lang w:val="zh-CN"/>
        </w:rPr>
        <w:t>本部分具体内容要分三段式叙述，第一段摘抄文本（修改终稿）叙述的内容，第二段描述采纳专家主要意见修改的内容，第三段作出评估结论。</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（一）项目建设背景和必要性</w:t>
      </w:r>
    </w:p>
    <w:p>
      <w:pPr>
        <w:spacing w:line="400" w:lineRule="exact"/>
        <w:ind w:firstLine="480"/>
        <w:rPr>
          <w:rFonts w:hint="eastAsia" w:ascii="宋体" w:hAnsi="宋体" w:cs="宋体"/>
          <w:szCs w:val="21"/>
          <w:lang w:val="zh-CN"/>
        </w:rPr>
      </w:pPr>
      <w:r>
        <w:rPr>
          <w:rFonts w:hint="eastAsia" w:ascii="宋体" w:hAnsi="宋体" w:cs="宋体"/>
          <w:szCs w:val="21"/>
          <w:lang w:val="zh-CN"/>
        </w:rPr>
        <w:t>前期已批建议书，重点评估本阶段项目功能定位、近期和远期目标、产品或服务的需求总量及结构的合理性等。</w:t>
      </w:r>
    </w:p>
    <w:p>
      <w:pPr>
        <w:spacing w:line="400" w:lineRule="exact"/>
        <w:ind w:firstLine="480"/>
        <w:rPr>
          <w:rFonts w:hint="eastAsia" w:ascii="宋体" w:hAnsi="宋体" w:cs="宋体"/>
          <w:szCs w:val="21"/>
          <w:lang w:val="zh-CN"/>
        </w:rPr>
      </w:pPr>
      <w:r>
        <w:rPr>
          <w:rFonts w:hint="eastAsia" w:ascii="宋体" w:hAnsi="宋体" w:cs="宋体"/>
          <w:szCs w:val="21"/>
          <w:lang w:val="zh-CN"/>
        </w:rPr>
        <w:t>前期未批建议书，重点评估项目建设的必要性、建设时机的适当性、需求的可靠性等。</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（二）建设内容与规模</w:t>
      </w:r>
    </w:p>
    <w:p>
      <w:pPr>
        <w:spacing w:line="400" w:lineRule="exact"/>
        <w:ind w:firstLine="480"/>
        <w:rPr>
          <w:rFonts w:hint="eastAsia" w:ascii="宋体" w:hAnsi="宋体" w:cs="宋体"/>
          <w:szCs w:val="21"/>
          <w:lang w:val="zh-CN"/>
        </w:rPr>
      </w:pPr>
      <w:r>
        <w:rPr>
          <w:rFonts w:hint="eastAsia" w:ascii="宋体" w:hAnsi="宋体" w:cs="宋体"/>
          <w:szCs w:val="21"/>
          <w:lang w:val="zh-CN"/>
        </w:rPr>
        <w:t>以规划、标准、规范等为依据，评估项目建设内容和规模的准确性、合理性。</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（三）要素保障性</w:t>
      </w:r>
    </w:p>
    <w:p>
      <w:pPr>
        <w:spacing w:line="400" w:lineRule="exact"/>
        <w:ind w:firstLine="480"/>
        <w:rPr>
          <w:rFonts w:hint="eastAsia" w:ascii="宋体" w:hAnsi="宋体" w:cs="宋体"/>
          <w:szCs w:val="21"/>
          <w:lang w:val="zh-CN"/>
        </w:rPr>
      </w:pPr>
      <w:r>
        <w:rPr>
          <w:rFonts w:hint="eastAsia" w:ascii="宋体" w:hAnsi="宋体" w:cs="宋体"/>
          <w:szCs w:val="21"/>
          <w:lang w:val="zh-CN"/>
        </w:rPr>
        <w:t>重点评估拟建项目选址或选线的合理性；项目建设条件对拟建项目的支撑性等。</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（四）工程可行性</w:t>
      </w:r>
    </w:p>
    <w:p>
      <w:pPr>
        <w:spacing w:line="400" w:lineRule="exact"/>
        <w:ind w:firstLine="480"/>
        <w:rPr>
          <w:rFonts w:hint="eastAsia" w:ascii="宋体" w:hAnsi="宋体" w:cs="宋体"/>
          <w:szCs w:val="21"/>
          <w:lang w:val="zh-CN"/>
        </w:rPr>
      </w:pPr>
      <w:r>
        <w:rPr>
          <w:rFonts w:hint="eastAsia" w:ascii="宋体" w:hAnsi="宋体" w:cs="宋体"/>
          <w:szCs w:val="21"/>
          <w:lang w:val="zh-CN"/>
        </w:rPr>
        <w:t>重点评估用地征收补偿（安置）方案的合规性，工程方案和建设管理方案的可行性。对具备条件的项目还应重点审查数字化方案的可行性。</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（五）运营有效性</w:t>
      </w:r>
    </w:p>
    <w:p>
      <w:pPr>
        <w:spacing w:line="400" w:lineRule="exact"/>
        <w:ind w:firstLine="480"/>
        <w:rPr>
          <w:rFonts w:hint="eastAsia" w:ascii="宋体" w:hAnsi="宋体" w:cs="宋体"/>
          <w:szCs w:val="21"/>
          <w:lang w:val="zh-CN"/>
        </w:rPr>
      </w:pPr>
      <w:r>
        <w:rPr>
          <w:rFonts w:hint="eastAsia" w:ascii="宋体" w:hAnsi="宋体" w:cs="宋体"/>
          <w:szCs w:val="21"/>
          <w:lang w:val="zh-CN"/>
        </w:rPr>
        <w:t>重点评估运营模式的合理性，运营组织方案、安全保障方案、绩效管理方案的可行性。</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（六）财务合理性</w:t>
      </w:r>
    </w:p>
    <w:p>
      <w:pPr>
        <w:spacing w:line="400" w:lineRule="exact"/>
        <w:ind w:firstLine="480"/>
        <w:rPr>
          <w:rFonts w:hint="eastAsia" w:ascii="宋体" w:hAnsi="宋体" w:cs="宋体"/>
          <w:szCs w:val="21"/>
          <w:lang w:val="zh-CN"/>
        </w:rPr>
      </w:pPr>
      <w:r>
        <w:rPr>
          <w:rFonts w:hint="eastAsia" w:ascii="宋体" w:hAnsi="宋体" w:cs="宋体"/>
          <w:szCs w:val="21"/>
          <w:lang w:val="zh-CN"/>
        </w:rPr>
        <w:t>重点评估投资估算方案、融资方案、债务清偿能力方案、财务可持续性方案的合理性。</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（七）影响可持续性</w:t>
      </w:r>
    </w:p>
    <w:p>
      <w:pPr>
        <w:spacing w:line="400" w:lineRule="exact"/>
        <w:ind w:firstLine="480"/>
        <w:rPr>
          <w:rFonts w:hint="eastAsia" w:ascii="宋体" w:hAnsi="宋体" w:cs="宋体"/>
          <w:szCs w:val="21"/>
          <w:lang w:val="zh-CN"/>
        </w:rPr>
      </w:pPr>
      <w:r>
        <w:rPr>
          <w:rFonts w:hint="eastAsia" w:ascii="宋体" w:hAnsi="宋体" w:cs="宋体"/>
          <w:szCs w:val="21"/>
          <w:lang w:val="zh-CN"/>
        </w:rPr>
        <w:t xml:space="preserve">重点评估经济影响分析、社会影响分析、资源和能源利用效果分析、碳达峰碳中和分析方案的合理性。 </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（八）项目风险可控性</w:t>
      </w:r>
    </w:p>
    <w:p>
      <w:pPr>
        <w:spacing w:line="400" w:lineRule="exact"/>
        <w:ind w:firstLine="480"/>
        <w:rPr>
          <w:rFonts w:hint="eastAsia" w:ascii="宋体" w:hAnsi="宋体" w:cs="宋体"/>
          <w:szCs w:val="21"/>
          <w:lang w:val="zh-CN"/>
        </w:rPr>
      </w:pPr>
      <w:r>
        <w:rPr>
          <w:rFonts w:hint="eastAsia" w:ascii="宋体" w:hAnsi="宋体" w:cs="宋体"/>
          <w:szCs w:val="21"/>
          <w:lang w:val="zh-CN"/>
        </w:rPr>
        <w:t>重点评估风险识别是否全面、准确，风险评估是否合理，风险管控方案、风险应急预案是否可行。</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五、结论及建议</w:t>
      </w:r>
    </w:p>
    <w:p>
      <w:pPr>
        <w:spacing w:line="400" w:lineRule="exact"/>
        <w:ind w:firstLine="480"/>
        <w:rPr>
          <w:rFonts w:hint="eastAsia" w:ascii="宋体" w:hAnsi="宋体" w:cs="宋体"/>
          <w:szCs w:val="21"/>
          <w:lang w:val="zh-CN"/>
        </w:rPr>
      </w:pPr>
      <w:r>
        <w:rPr>
          <w:rFonts w:hint="eastAsia" w:ascii="宋体" w:hAnsi="宋体" w:cs="宋体"/>
          <w:szCs w:val="21"/>
          <w:lang w:val="zh-CN"/>
        </w:rPr>
        <w:t>总结阐述本项目《可研报告》的总体评估结论，论述项目建设的必要性、要素的保障性、工程的可行性、运营的有效性、财务的合理性、影响的可持续性、风险的可控性等内容的合理性、可行性。</w:t>
      </w:r>
    </w:p>
    <w:p>
      <w:pPr>
        <w:spacing w:line="400" w:lineRule="exact"/>
        <w:ind w:firstLine="480"/>
        <w:rPr>
          <w:rFonts w:hint="eastAsia" w:ascii="宋体" w:hAnsi="宋体" w:cs="宋体"/>
          <w:szCs w:val="21"/>
          <w:lang w:val="zh-CN"/>
        </w:rPr>
      </w:pPr>
      <w:r>
        <w:rPr>
          <w:rFonts w:hint="eastAsia" w:ascii="宋体" w:hAnsi="宋体" w:cs="宋体"/>
          <w:szCs w:val="21"/>
          <w:lang w:val="zh-CN"/>
        </w:rPr>
        <w:t>对专家组及专家提出的修改意见未采纳或采纳不到位的部分，提出在下一阶段完善的意见和建议。</w:t>
      </w:r>
    </w:p>
    <w:p>
      <w:pPr>
        <w:tabs>
          <w:tab w:val="left" w:pos="312"/>
        </w:tabs>
        <w:spacing w:line="400" w:lineRule="exact"/>
        <w:ind w:firstLine="420" w:firstLineChars="200"/>
        <w:rPr>
          <w:rFonts w:hint="eastAsia" w:ascii="黑体" w:hAnsi="黑体" w:eastAsia="黑体" w:cs="黑体"/>
          <w:szCs w:val="21"/>
        </w:rPr>
      </w:pPr>
      <w:r>
        <w:rPr>
          <w:rFonts w:hint="eastAsia" w:ascii="黑体" w:hAnsi="黑体" w:eastAsia="黑体" w:cs="黑体"/>
          <w:szCs w:val="21"/>
        </w:rPr>
        <w:t>附表：项目总投资估算表</w:t>
      </w:r>
    </w:p>
    <w:p>
      <w:pPr>
        <w:spacing w:line="400" w:lineRule="exact"/>
        <w:ind w:firstLine="480"/>
        <w:rPr>
          <w:rFonts w:hint="eastAsia" w:ascii="宋体" w:hAnsi="宋体" w:cs="宋体"/>
          <w:szCs w:val="21"/>
        </w:rPr>
      </w:pPr>
    </w:p>
    <w:p>
      <w:pPr>
        <w:spacing w:line="400" w:lineRule="exact"/>
        <w:ind w:firstLine="480"/>
        <w:rPr>
          <w:rFonts w:hint="eastAsia" w:ascii="宋体" w:hAnsi="宋体" w:cs="宋体"/>
          <w:szCs w:val="21"/>
          <w:lang w:val="zh-CN"/>
        </w:rPr>
      </w:pPr>
    </w:p>
    <w:p>
      <w:pPr>
        <w:spacing w:line="400" w:lineRule="exact"/>
        <w:ind w:firstLine="480"/>
        <w:rPr>
          <w:rFonts w:hint="eastAsia" w:ascii="宋体" w:hAnsi="宋体" w:cs="宋体"/>
          <w:szCs w:val="21"/>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5"/>
        <w:spacing w:before="312" w:after="312"/>
        <w:rPr>
          <w:rFonts w:hint="eastAsia"/>
        </w:rPr>
      </w:pPr>
      <w:r>
        <w:rPr>
          <w:lang w:val="zh-CN"/>
        </w:rPr>
        <w:t>初步设计</w:t>
      </w:r>
    </w:p>
    <w:p>
      <w:pPr>
        <w:pStyle w:val="11"/>
        <w:spacing w:before="156" w:beforeLines="50" w:after="156" w:afterLines="50"/>
        <w:ind w:firstLine="0" w:firstLineChars="0"/>
        <w:jc w:val="center"/>
        <w:rPr>
          <w:rFonts w:ascii="黑体" w:hAnsi="黑体" w:eastAsia="黑体" w:cs="黑体"/>
          <w:sz w:val="28"/>
          <w:szCs w:val="28"/>
          <w:lang w:val="zh-CN"/>
        </w:rPr>
      </w:pPr>
      <w:r>
        <w:rPr>
          <w:rFonts w:hint="eastAsia" w:ascii="黑体" w:hAnsi="黑体" w:eastAsia="黑体" w:cs="黑体"/>
          <w:sz w:val="28"/>
          <w:szCs w:val="28"/>
          <w:lang w:val="zh-CN"/>
        </w:rPr>
        <w:t>××</w:t>
      </w:r>
      <w:r>
        <w:rPr>
          <w:rFonts w:ascii="黑体" w:hAnsi="黑体" w:eastAsia="黑体" w:cs="黑体"/>
          <w:sz w:val="28"/>
          <w:szCs w:val="28"/>
          <w:lang w:val="zh-CN"/>
        </w:rPr>
        <w:t>项目初步设计评</w:t>
      </w:r>
      <w:r>
        <w:rPr>
          <w:rFonts w:hint="eastAsia" w:ascii="黑体" w:hAnsi="黑体" w:eastAsia="黑体" w:cs="黑体"/>
          <w:sz w:val="28"/>
          <w:szCs w:val="28"/>
          <w:lang w:val="zh-CN"/>
        </w:rPr>
        <w:t>估</w:t>
      </w:r>
      <w:r>
        <w:rPr>
          <w:rFonts w:ascii="黑体" w:hAnsi="黑体" w:eastAsia="黑体" w:cs="黑体"/>
          <w:sz w:val="28"/>
          <w:szCs w:val="28"/>
          <w:lang w:val="zh-CN"/>
        </w:rPr>
        <w:t>报告（示例）</w:t>
      </w:r>
    </w:p>
    <w:p>
      <w:pPr>
        <w:spacing w:line="400" w:lineRule="exac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政府</w:t>
      </w:r>
      <w:r>
        <w:rPr>
          <w:rFonts w:hint="eastAsia" w:ascii="宋体" w:hAnsi="宋体" w:cs="宋体"/>
          <w:szCs w:val="21"/>
          <w:lang w:val="zh-CN"/>
        </w:rPr>
        <w:t>投资</w:t>
      </w:r>
      <w:r>
        <w:rPr>
          <w:rFonts w:hint="eastAsia" w:ascii="宋体" w:hAnsi="宋体" w:cs="宋体"/>
          <w:szCs w:val="21"/>
        </w:rPr>
        <w:t>管理</w:t>
      </w:r>
      <w:r>
        <w:rPr>
          <w:rFonts w:hint="eastAsia" w:ascii="宋体" w:hAnsi="宋体" w:cs="宋体"/>
          <w:szCs w:val="21"/>
          <w:lang w:val="zh-CN"/>
        </w:rPr>
        <w:t>部门）</w:t>
      </w:r>
      <w:r>
        <w:rPr>
          <w:rFonts w:ascii="宋体" w:hAnsi="宋体" w:cs="宋体"/>
          <w:szCs w:val="21"/>
          <w:lang w:val="zh-CN"/>
        </w:rPr>
        <w:t>：</w:t>
      </w:r>
    </w:p>
    <w:p>
      <w:pPr>
        <w:spacing w:line="400" w:lineRule="exact"/>
        <w:ind w:firstLine="480"/>
        <w:rPr>
          <w:rFonts w:ascii="宋体" w:hAnsi="宋体" w:cs="宋体"/>
          <w:szCs w:val="21"/>
          <w:lang w:val="zh-CN"/>
        </w:rPr>
      </w:pPr>
      <w:r>
        <w:rPr>
          <w:rFonts w:ascii="宋体" w:hAnsi="宋体" w:cs="宋体"/>
          <w:szCs w:val="21"/>
          <w:lang w:val="zh-CN"/>
        </w:rPr>
        <w:t>受贵</w:t>
      </w:r>
      <w:r>
        <w:rPr>
          <w:rFonts w:hint="eastAsia" w:ascii="宋体" w:hAnsi="宋体" w:cs="宋体"/>
          <w:szCs w:val="21"/>
        </w:rPr>
        <w:t>单位</w:t>
      </w:r>
      <w:r>
        <w:rPr>
          <w:rFonts w:ascii="宋体" w:hAnsi="宋体" w:cs="宋体"/>
          <w:szCs w:val="21"/>
          <w:lang w:val="zh-CN"/>
        </w:rPr>
        <w:t>委托，我中心</w:t>
      </w:r>
      <w:r>
        <w:rPr>
          <w:rFonts w:hint="eastAsia" w:ascii="宋体" w:hAnsi="宋体" w:cs="宋体"/>
          <w:szCs w:val="21"/>
          <w:lang w:val="zh-CN"/>
        </w:rPr>
        <w:t>（</w:t>
      </w:r>
      <w:r>
        <w:rPr>
          <w:rFonts w:hint="eastAsia" w:ascii="宋体" w:hAnsi="宋体" w:cs="宋体"/>
          <w:szCs w:val="21"/>
        </w:rPr>
        <w:t>公司</w:t>
      </w:r>
      <w:r>
        <w:rPr>
          <w:rFonts w:hint="eastAsia" w:ascii="宋体" w:hAnsi="宋体" w:cs="宋体"/>
          <w:szCs w:val="21"/>
          <w:lang w:val="zh-CN"/>
        </w:rPr>
        <w:t>）</w:t>
      </w:r>
      <w:r>
        <w:rPr>
          <w:rFonts w:ascii="宋体" w:hAnsi="宋体" w:cs="宋体"/>
          <w:szCs w:val="21"/>
          <w:lang w:val="zh-CN"/>
        </w:rPr>
        <w:t>对《××项目初步设计》（以下简称《初步设计》）进行了评</w:t>
      </w:r>
      <w:r>
        <w:rPr>
          <w:rFonts w:hint="eastAsia" w:ascii="宋体" w:hAnsi="宋体" w:cs="宋体"/>
          <w:szCs w:val="21"/>
          <w:lang w:val="zh-CN"/>
        </w:rPr>
        <w:t>估</w:t>
      </w:r>
      <w:r>
        <w:rPr>
          <w:rFonts w:ascii="宋体" w:hAnsi="宋体" w:cs="宋体"/>
          <w:szCs w:val="21"/>
          <w:lang w:val="zh-CN"/>
        </w:rPr>
        <w:t>。现将评</w:t>
      </w:r>
      <w:r>
        <w:rPr>
          <w:rFonts w:hint="eastAsia" w:ascii="宋体" w:hAnsi="宋体" w:cs="宋体"/>
          <w:szCs w:val="21"/>
          <w:lang w:val="zh-CN"/>
        </w:rPr>
        <w:t>估</w:t>
      </w:r>
      <w:r>
        <w:rPr>
          <w:rFonts w:ascii="宋体" w:hAnsi="宋体" w:cs="宋体"/>
          <w:szCs w:val="21"/>
          <w:lang w:val="zh-CN"/>
        </w:rPr>
        <w:t>情况报告如下：</w:t>
      </w:r>
    </w:p>
    <w:p>
      <w:pPr>
        <w:spacing w:line="400" w:lineRule="exact"/>
        <w:ind w:firstLine="480"/>
        <w:rPr>
          <w:rFonts w:hint="eastAsia" w:ascii="黑体" w:hAnsi="黑体" w:eastAsia="黑体" w:cs="黑体"/>
          <w:szCs w:val="21"/>
          <w:lang w:val="zh-CN"/>
        </w:rPr>
      </w:pPr>
      <w:r>
        <w:rPr>
          <w:rFonts w:hint="eastAsia" w:ascii="黑体" w:hAnsi="黑体" w:eastAsia="黑体" w:cs="黑体"/>
          <w:szCs w:val="21"/>
        </w:rPr>
        <w:t>一、</w:t>
      </w:r>
      <w:r>
        <w:rPr>
          <w:rFonts w:hint="eastAsia" w:ascii="黑体" w:hAnsi="黑体" w:eastAsia="黑体" w:cs="黑体"/>
          <w:szCs w:val="21"/>
          <w:lang w:val="zh-CN"/>
        </w:rPr>
        <w:t>评估项目摘要</w:t>
      </w:r>
    </w:p>
    <w:p>
      <w:pPr>
        <w:spacing w:line="400" w:lineRule="exact"/>
        <w:ind w:firstLine="480"/>
        <w:rPr>
          <w:rFonts w:ascii="宋体" w:hAnsi="宋体" w:cs="宋体"/>
          <w:szCs w:val="21"/>
          <w:lang w:val="zh-CN"/>
        </w:rPr>
      </w:pPr>
      <w:r>
        <w:rPr>
          <w:rFonts w:ascii="宋体" w:hAnsi="宋体" w:cs="宋体"/>
          <w:szCs w:val="21"/>
          <w:lang w:val="zh-CN"/>
        </w:rPr>
        <w:t>简述项目建设地址、规模等内容。</w:t>
      </w:r>
    </w:p>
    <w:p>
      <w:pPr>
        <w:spacing w:line="400" w:lineRule="exact"/>
        <w:ind w:firstLine="480"/>
        <w:rPr>
          <w:rFonts w:ascii="黑体" w:hAnsi="黑体" w:eastAsia="黑体" w:cs="黑体"/>
          <w:szCs w:val="21"/>
          <w:lang w:val="zh-CN"/>
        </w:rPr>
      </w:pPr>
      <w:r>
        <w:rPr>
          <w:rFonts w:ascii="黑体" w:hAnsi="黑体" w:eastAsia="黑体" w:cs="黑体"/>
          <w:szCs w:val="21"/>
          <w:lang w:val="zh-CN"/>
        </w:rPr>
        <w:t>（一）建筑工程</w:t>
      </w:r>
    </w:p>
    <w:p>
      <w:pPr>
        <w:spacing w:line="400" w:lineRule="exact"/>
        <w:ind w:firstLine="480"/>
        <w:rPr>
          <w:rFonts w:ascii="宋体" w:hAnsi="宋体" w:cs="宋体"/>
          <w:szCs w:val="21"/>
          <w:lang w:val="zh-CN"/>
        </w:rPr>
      </w:pPr>
      <w:r>
        <w:rPr>
          <w:rFonts w:ascii="宋体" w:hAnsi="宋体" w:cs="宋体"/>
          <w:szCs w:val="21"/>
          <w:lang w:val="zh-CN"/>
        </w:rPr>
        <w:t>简要概述项目的建筑面积、层高、层数、外立面材料</w:t>
      </w:r>
      <w:r>
        <w:rPr>
          <w:rFonts w:hint="eastAsia" w:ascii="宋体" w:hAnsi="宋体" w:cs="宋体"/>
          <w:szCs w:val="21"/>
          <w:lang w:val="zh-CN"/>
        </w:rPr>
        <w:t>、</w:t>
      </w:r>
      <w:r>
        <w:rPr>
          <w:rFonts w:ascii="宋体" w:hAnsi="宋体" w:cs="宋体"/>
          <w:szCs w:val="21"/>
          <w:lang w:val="zh-CN"/>
        </w:rPr>
        <w:t>功能及分布等内容。</w:t>
      </w:r>
    </w:p>
    <w:p>
      <w:pPr>
        <w:spacing w:line="400" w:lineRule="exact"/>
        <w:ind w:firstLine="480"/>
        <w:rPr>
          <w:rFonts w:ascii="黑体" w:hAnsi="黑体" w:eastAsia="黑体" w:cs="黑体"/>
          <w:szCs w:val="21"/>
          <w:lang w:val="zh-CN"/>
        </w:rPr>
      </w:pPr>
      <w:r>
        <w:rPr>
          <w:rFonts w:ascii="黑体" w:hAnsi="黑体" w:eastAsia="黑体" w:cs="黑体"/>
          <w:szCs w:val="21"/>
          <w:lang w:val="zh-CN"/>
        </w:rPr>
        <w:t>（二）结构工程</w:t>
      </w:r>
    </w:p>
    <w:p>
      <w:pPr>
        <w:spacing w:line="400" w:lineRule="exact"/>
        <w:ind w:firstLine="480"/>
        <w:rPr>
          <w:rFonts w:ascii="宋体" w:hAnsi="宋体" w:cs="宋体"/>
          <w:szCs w:val="21"/>
          <w:lang w:val="zh-CN"/>
        </w:rPr>
      </w:pPr>
      <w:r>
        <w:rPr>
          <w:rFonts w:ascii="宋体" w:hAnsi="宋体" w:cs="宋体"/>
          <w:szCs w:val="21"/>
          <w:lang w:val="zh-CN"/>
        </w:rPr>
        <w:t>简要概述项目的建筑结构安全等级、使用年限、抗震设防类别、建筑结构形式、基础形式等内容。</w:t>
      </w:r>
    </w:p>
    <w:p>
      <w:pPr>
        <w:spacing w:line="400" w:lineRule="exact"/>
        <w:ind w:firstLine="480"/>
        <w:rPr>
          <w:rFonts w:ascii="黑体" w:hAnsi="黑体" w:eastAsia="黑体" w:cs="黑体"/>
          <w:szCs w:val="21"/>
          <w:lang w:val="zh-CN"/>
        </w:rPr>
      </w:pPr>
      <w:r>
        <w:rPr>
          <w:rFonts w:ascii="黑体" w:hAnsi="黑体" w:eastAsia="黑体" w:cs="黑体"/>
          <w:szCs w:val="21"/>
          <w:lang w:val="zh-CN"/>
        </w:rPr>
        <w:t>（三）电气工程</w:t>
      </w:r>
    </w:p>
    <w:p>
      <w:pPr>
        <w:spacing w:line="400" w:lineRule="exact"/>
        <w:ind w:firstLine="480"/>
        <w:rPr>
          <w:rFonts w:ascii="宋体" w:hAnsi="宋体" w:cs="宋体"/>
          <w:szCs w:val="21"/>
          <w:lang w:val="zh-CN"/>
        </w:rPr>
      </w:pPr>
      <w:r>
        <w:rPr>
          <w:rFonts w:ascii="宋体" w:hAnsi="宋体" w:cs="宋体"/>
          <w:szCs w:val="21"/>
          <w:lang w:val="zh-CN"/>
        </w:rPr>
        <w:t>简要概述项目的供电电源、配电方式、输配电管材、负荷等级、备用电源情况、智能化系统、电气消防系统等内容。</w:t>
      </w:r>
    </w:p>
    <w:p>
      <w:pPr>
        <w:spacing w:line="400" w:lineRule="exact"/>
        <w:ind w:firstLine="480"/>
        <w:rPr>
          <w:rFonts w:ascii="黑体" w:hAnsi="黑体" w:eastAsia="黑体" w:cs="黑体"/>
          <w:szCs w:val="21"/>
          <w:lang w:val="zh-CN"/>
        </w:rPr>
      </w:pPr>
      <w:r>
        <w:rPr>
          <w:rFonts w:ascii="黑体" w:hAnsi="黑体" w:eastAsia="黑体" w:cs="黑体"/>
          <w:szCs w:val="21"/>
          <w:lang w:val="zh-CN"/>
        </w:rPr>
        <w:t>（四）给排水工程</w:t>
      </w:r>
    </w:p>
    <w:p>
      <w:pPr>
        <w:spacing w:line="400" w:lineRule="exact"/>
        <w:ind w:firstLine="480"/>
        <w:rPr>
          <w:rFonts w:ascii="宋体" w:hAnsi="宋体" w:cs="宋体"/>
          <w:szCs w:val="21"/>
          <w:lang w:val="zh-CN"/>
        </w:rPr>
      </w:pPr>
      <w:r>
        <w:rPr>
          <w:rFonts w:ascii="宋体" w:hAnsi="宋体" w:cs="宋体"/>
          <w:szCs w:val="21"/>
          <w:lang w:val="zh-CN"/>
        </w:rPr>
        <w:t>简要概述项目的给水系统方式、给水水源、室内外排水方式、给排水管材、消防供水系统等内容。</w:t>
      </w:r>
    </w:p>
    <w:p>
      <w:pPr>
        <w:spacing w:line="400" w:lineRule="exact"/>
        <w:ind w:firstLine="480"/>
        <w:rPr>
          <w:rFonts w:ascii="黑体" w:hAnsi="黑体" w:eastAsia="黑体" w:cs="黑体"/>
          <w:szCs w:val="21"/>
          <w:lang w:val="zh-CN"/>
        </w:rPr>
      </w:pPr>
      <w:r>
        <w:rPr>
          <w:rFonts w:ascii="黑体" w:hAnsi="黑体" w:eastAsia="黑体" w:cs="黑体"/>
          <w:szCs w:val="21"/>
          <w:lang w:val="zh-CN"/>
        </w:rPr>
        <w:t>（五）暖通工程</w:t>
      </w:r>
    </w:p>
    <w:p>
      <w:pPr>
        <w:spacing w:line="400" w:lineRule="exact"/>
        <w:ind w:firstLine="480"/>
        <w:rPr>
          <w:rFonts w:hint="eastAsia" w:ascii="宋体" w:hAnsi="宋体" w:cs="宋体"/>
          <w:szCs w:val="21"/>
          <w:lang w:val="zh-CN"/>
        </w:rPr>
      </w:pPr>
      <w:r>
        <w:rPr>
          <w:rFonts w:ascii="宋体" w:hAnsi="宋体" w:cs="宋体"/>
          <w:szCs w:val="21"/>
          <w:lang w:val="zh-CN"/>
        </w:rPr>
        <w:t>简要概述项目的冷热源、供热系统、通风系统、管材等内容。</w:t>
      </w:r>
    </w:p>
    <w:p>
      <w:pPr>
        <w:spacing w:line="400" w:lineRule="exact"/>
        <w:ind w:firstLine="480"/>
        <w:rPr>
          <w:rFonts w:hint="eastAsia" w:ascii="黑体" w:hAnsi="黑体" w:eastAsia="黑体" w:cs="黑体"/>
          <w:szCs w:val="21"/>
          <w:lang w:val="zh-CN"/>
        </w:rPr>
      </w:pPr>
      <w:r>
        <w:rPr>
          <w:rFonts w:hint="eastAsia" w:ascii="黑体" w:hAnsi="黑体" w:eastAsia="黑体" w:cs="黑体"/>
          <w:szCs w:val="21"/>
          <w:lang w:val="zh-CN"/>
        </w:rPr>
        <w:t>（六）消防工程</w:t>
      </w:r>
    </w:p>
    <w:p>
      <w:pPr>
        <w:spacing w:line="400" w:lineRule="exact"/>
        <w:ind w:firstLine="480"/>
        <w:rPr>
          <w:rFonts w:ascii="宋体" w:hAnsi="宋体" w:cs="宋体"/>
          <w:szCs w:val="21"/>
          <w:lang w:val="zh-CN"/>
        </w:rPr>
      </w:pPr>
      <w:r>
        <w:rPr>
          <w:rFonts w:hint="eastAsia" w:ascii="宋体" w:hAnsi="宋体" w:cs="宋体"/>
          <w:szCs w:val="21"/>
          <w:lang w:val="zh-CN"/>
        </w:rPr>
        <w:t>简要概述建筑设置措施；室内灭火系统及其消防水源保障；室外消防系统及其水源（水量和水压）保障；消防报警系统设置等内容。</w:t>
      </w:r>
    </w:p>
    <w:p>
      <w:pPr>
        <w:spacing w:line="400" w:lineRule="exact"/>
        <w:ind w:firstLine="480"/>
        <w:rPr>
          <w:rFonts w:ascii="黑体" w:hAnsi="黑体" w:eastAsia="黑体" w:cs="黑体"/>
          <w:szCs w:val="21"/>
          <w:lang w:val="zh-CN"/>
        </w:rPr>
      </w:pPr>
      <w:r>
        <w:rPr>
          <w:rFonts w:ascii="黑体" w:hAnsi="黑体" w:eastAsia="黑体" w:cs="黑体"/>
          <w:szCs w:val="21"/>
          <w:lang w:val="zh-CN"/>
        </w:rPr>
        <w:t>（七）项目概算</w:t>
      </w:r>
    </w:p>
    <w:p>
      <w:pPr>
        <w:spacing w:line="400" w:lineRule="exact"/>
        <w:ind w:firstLine="480"/>
        <w:rPr>
          <w:rFonts w:ascii="宋体" w:hAnsi="宋体" w:cs="宋体"/>
          <w:szCs w:val="21"/>
          <w:lang w:val="zh-CN"/>
        </w:rPr>
      </w:pPr>
      <w:r>
        <w:rPr>
          <w:rFonts w:ascii="宋体" w:hAnsi="宋体" w:cs="宋体"/>
          <w:szCs w:val="21"/>
          <w:lang w:val="zh-CN"/>
        </w:rPr>
        <w:t>摘录项目概算、分项工程费用、其他费用、预备费等主要内容。</w:t>
      </w:r>
    </w:p>
    <w:p>
      <w:pPr>
        <w:spacing w:line="400" w:lineRule="exact"/>
        <w:ind w:firstLine="480"/>
        <w:rPr>
          <w:rFonts w:ascii="黑体" w:hAnsi="黑体" w:eastAsia="黑体" w:cs="黑体"/>
          <w:szCs w:val="21"/>
          <w:lang w:val="zh-CN"/>
        </w:rPr>
      </w:pPr>
      <w:r>
        <w:rPr>
          <w:rFonts w:ascii="黑体" w:hAnsi="黑体" w:eastAsia="黑体" w:cs="黑体"/>
          <w:szCs w:val="21"/>
          <w:lang w:val="zh-CN"/>
        </w:rPr>
        <w:t>二、评</w:t>
      </w:r>
      <w:r>
        <w:rPr>
          <w:rFonts w:hint="eastAsia" w:ascii="黑体" w:hAnsi="黑体" w:eastAsia="黑体" w:cs="黑体"/>
          <w:szCs w:val="21"/>
          <w:lang w:val="zh-CN"/>
        </w:rPr>
        <w:t>估</w:t>
      </w:r>
      <w:r>
        <w:rPr>
          <w:rFonts w:ascii="黑体" w:hAnsi="黑体" w:eastAsia="黑体" w:cs="黑体"/>
          <w:szCs w:val="21"/>
          <w:lang w:val="zh-CN"/>
        </w:rPr>
        <w:t>概况及依据</w:t>
      </w:r>
    </w:p>
    <w:p>
      <w:pPr>
        <w:spacing w:line="400" w:lineRule="exact"/>
        <w:ind w:firstLine="480"/>
        <w:rPr>
          <w:rFonts w:ascii="黑体" w:hAnsi="黑体" w:eastAsia="黑体" w:cs="黑体"/>
          <w:szCs w:val="21"/>
          <w:lang w:val="zh-CN"/>
        </w:rPr>
      </w:pPr>
      <w:r>
        <w:rPr>
          <w:rFonts w:ascii="黑体" w:hAnsi="黑体" w:eastAsia="黑体" w:cs="黑体"/>
          <w:szCs w:val="21"/>
          <w:lang w:val="zh-CN"/>
        </w:rPr>
        <w:t>（一）评</w:t>
      </w:r>
      <w:r>
        <w:rPr>
          <w:rFonts w:hint="eastAsia" w:ascii="黑体" w:hAnsi="黑体" w:eastAsia="黑体" w:cs="黑体"/>
          <w:szCs w:val="21"/>
          <w:lang w:val="zh-CN"/>
        </w:rPr>
        <w:t>估</w:t>
      </w:r>
      <w:r>
        <w:rPr>
          <w:rFonts w:ascii="黑体" w:hAnsi="黑体" w:eastAsia="黑体" w:cs="黑体"/>
          <w:szCs w:val="21"/>
          <w:lang w:val="zh-CN"/>
        </w:rPr>
        <w:t>概况</w:t>
      </w:r>
    </w:p>
    <w:p>
      <w:pPr>
        <w:spacing w:line="400" w:lineRule="exact"/>
        <w:ind w:firstLine="480"/>
        <w:rPr>
          <w:rFonts w:ascii="宋体" w:hAnsi="宋体" w:cs="宋体"/>
          <w:szCs w:val="21"/>
          <w:lang w:val="zh-CN"/>
        </w:rPr>
      </w:pPr>
      <w:r>
        <w:rPr>
          <w:rFonts w:ascii="宋体" w:hAnsi="宋体" w:cs="宋体"/>
          <w:szCs w:val="21"/>
          <w:lang w:val="zh-CN"/>
        </w:rPr>
        <w:t>说明项目初步设计评</w:t>
      </w:r>
      <w:r>
        <w:rPr>
          <w:rFonts w:hint="eastAsia" w:ascii="宋体" w:hAnsi="宋体" w:cs="宋体"/>
          <w:szCs w:val="21"/>
          <w:lang w:val="zh-CN"/>
        </w:rPr>
        <w:t>估</w:t>
      </w:r>
      <w:r>
        <w:rPr>
          <w:rFonts w:ascii="宋体" w:hAnsi="宋体" w:cs="宋体"/>
          <w:szCs w:val="21"/>
          <w:lang w:val="zh-CN"/>
        </w:rPr>
        <w:t>的全部流程，说明评</w:t>
      </w:r>
      <w:r>
        <w:rPr>
          <w:rFonts w:hint="eastAsia" w:ascii="宋体" w:hAnsi="宋体" w:cs="宋体"/>
          <w:szCs w:val="21"/>
          <w:lang w:val="zh-CN"/>
        </w:rPr>
        <w:t>估</w:t>
      </w:r>
      <w:r>
        <w:rPr>
          <w:rFonts w:ascii="宋体" w:hAnsi="宋体" w:cs="宋体"/>
          <w:szCs w:val="21"/>
          <w:lang w:val="zh-CN"/>
        </w:rPr>
        <w:t>过程中的关键时间节点、主要评</w:t>
      </w:r>
      <w:r>
        <w:rPr>
          <w:rFonts w:hint="eastAsia" w:ascii="宋体" w:hAnsi="宋体" w:cs="宋体"/>
          <w:szCs w:val="21"/>
          <w:lang w:val="zh-CN"/>
        </w:rPr>
        <w:t>估</w:t>
      </w:r>
      <w:r>
        <w:rPr>
          <w:rFonts w:ascii="宋体" w:hAnsi="宋体" w:cs="宋体"/>
          <w:szCs w:val="21"/>
          <w:lang w:val="zh-CN"/>
        </w:rPr>
        <w:t>活动和重点工作内容。</w:t>
      </w:r>
    </w:p>
    <w:p>
      <w:pPr>
        <w:spacing w:line="400" w:lineRule="exact"/>
        <w:ind w:firstLine="480"/>
        <w:rPr>
          <w:rFonts w:ascii="黑体" w:hAnsi="黑体" w:eastAsia="黑体" w:cs="黑体"/>
          <w:szCs w:val="21"/>
          <w:lang w:val="zh-CN"/>
        </w:rPr>
      </w:pPr>
      <w:r>
        <w:rPr>
          <w:rFonts w:ascii="黑体" w:hAnsi="黑体" w:eastAsia="黑体" w:cs="黑体"/>
          <w:szCs w:val="21"/>
          <w:lang w:val="zh-CN"/>
        </w:rPr>
        <w:t>（二）评</w:t>
      </w:r>
      <w:r>
        <w:rPr>
          <w:rFonts w:hint="eastAsia" w:ascii="黑体" w:hAnsi="黑体" w:eastAsia="黑体" w:cs="黑体"/>
          <w:szCs w:val="21"/>
          <w:lang w:val="zh-CN"/>
        </w:rPr>
        <w:t>估</w:t>
      </w:r>
      <w:r>
        <w:rPr>
          <w:rFonts w:ascii="黑体" w:hAnsi="黑体" w:eastAsia="黑体" w:cs="黑体"/>
          <w:szCs w:val="21"/>
          <w:lang w:val="zh-CN"/>
        </w:rPr>
        <w:t>依据</w:t>
      </w:r>
    </w:p>
    <w:p>
      <w:pPr>
        <w:spacing w:line="400" w:lineRule="exact"/>
        <w:ind w:firstLine="480"/>
        <w:rPr>
          <w:rFonts w:ascii="宋体" w:hAnsi="宋体" w:cs="宋体"/>
          <w:szCs w:val="21"/>
          <w:lang w:val="zh-CN"/>
        </w:rPr>
      </w:pPr>
      <w:r>
        <w:rPr>
          <w:rFonts w:ascii="宋体" w:hAnsi="宋体" w:cs="宋体"/>
          <w:szCs w:val="21"/>
          <w:lang w:val="zh-CN"/>
        </w:rPr>
        <w:t>分类列举主要评</w:t>
      </w:r>
      <w:r>
        <w:rPr>
          <w:rFonts w:hint="eastAsia" w:ascii="宋体" w:hAnsi="宋体" w:cs="宋体"/>
          <w:szCs w:val="21"/>
          <w:lang w:val="zh-CN"/>
        </w:rPr>
        <w:t>估</w:t>
      </w:r>
      <w:r>
        <w:rPr>
          <w:rFonts w:ascii="宋体" w:hAnsi="宋体" w:cs="宋体"/>
          <w:szCs w:val="21"/>
          <w:lang w:val="zh-CN"/>
        </w:rPr>
        <w:t>依据。评</w:t>
      </w:r>
      <w:r>
        <w:rPr>
          <w:rFonts w:hint="eastAsia" w:ascii="宋体" w:hAnsi="宋体" w:cs="宋体"/>
          <w:szCs w:val="21"/>
          <w:lang w:val="zh-CN"/>
        </w:rPr>
        <w:t>估</w:t>
      </w:r>
      <w:r>
        <w:rPr>
          <w:rFonts w:ascii="宋体" w:hAnsi="宋体" w:cs="宋体"/>
          <w:szCs w:val="21"/>
          <w:lang w:val="zh-CN"/>
        </w:rPr>
        <w:t>工作主要依据为：</w:t>
      </w:r>
    </w:p>
    <w:p>
      <w:pPr>
        <w:spacing w:line="400" w:lineRule="exact"/>
        <w:ind w:firstLine="480"/>
        <w:rPr>
          <w:rFonts w:ascii="宋体" w:hAnsi="宋体" w:cs="宋体"/>
          <w:szCs w:val="21"/>
          <w:lang w:val="zh-CN"/>
        </w:rPr>
      </w:pPr>
      <w:r>
        <w:rPr>
          <w:rFonts w:ascii="宋体" w:hAnsi="宋体" w:cs="宋体"/>
          <w:szCs w:val="21"/>
          <w:lang w:val="zh-CN"/>
        </w:rPr>
        <w:t>1</w:t>
      </w:r>
      <w:r>
        <w:rPr>
          <w:rFonts w:hint="eastAsia" w:ascii="宋体" w:hAnsi="宋体" w:cs="宋体"/>
          <w:szCs w:val="21"/>
          <w:lang w:val="zh-CN"/>
        </w:rPr>
        <w:t>.</w:t>
      </w:r>
      <w:r>
        <w:rPr>
          <w:rFonts w:ascii="宋体" w:hAnsi="宋体" w:cs="宋体"/>
          <w:szCs w:val="21"/>
          <w:lang w:val="zh-CN"/>
        </w:rPr>
        <w:t>项目可行性研究报告的批复文件；</w:t>
      </w:r>
    </w:p>
    <w:p>
      <w:pPr>
        <w:spacing w:line="400" w:lineRule="exact"/>
        <w:ind w:firstLine="480"/>
        <w:rPr>
          <w:rFonts w:ascii="宋体" w:hAnsi="宋体" w:cs="宋体"/>
          <w:szCs w:val="21"/>
          <w:lang w:val="zh-CN"/>
        </w:rPr>
      </w:pPr>
      <w:r>
        <w:rPr>
          <w:rFonts w:ascii="宋体" w:hAnsi="宋体" w:cs="宋体"/>
          <w:szCs w:val="21"/>
          <w:lang w:val="zh-CN"/>
        </w:rPr>
        <w:t>2.工程领域编制深度要求文件等；</w:t>
      </w:r>
    </w:p>
    <w:p>
      <w:pPr>
        <w:spacing w:line="400" w:lineRule="exact"/>
        <w:ind w:firstLine="480"/>
        <w:rPr>
          <w:rFonts w:ascii="宋体" w:hAnsi="宋体" w:cs="宋体"/>
          <w:szCs w:val="21"/>
          <w:lang w:val="zh-CN"/>
        </w:rPr>
      </w:pPr>
      <w:r>
        <w:rPr>
          <w:rFonts w:ascii="宋体" w:hAnsi="宋体" w:cs="宋体"/>
          <w:szCs w:val="21"/>
          <w:lang w:val="zh-CN"/>
        </w:rPr>
        <w:t>3</w:t>
      </w:r>
      <w:r>
        <w:rPr>
          <w:rFonts w:hint="eastAsia" w:ascii="宋体" w:hAnsi="宋体" w:cs="宋体"/>
          <w:szCs w:val="21"/>
          <w:lang w:val="zh-CN"/>
        </w:rPr>
        <w:t>.</w:t>
      </w:r>
      <w:r>
        <w:rPr>
          <w:rFonts w:ascii="宋体" w:hAnsi="宋体" w:cs="宋体"/>
          <w:szCs w:val="21"/>
          <w:lang w:val="zh-CN"/>
        </w:rPr>
        <w:t>工程方面的标准、规范；</w:t>
      </w:r>
    </w:p>
    <w:p>
      <w:pPr>
        <w:spacing w:line="400" w:lineRule="exact"/>
        <w:ind w:firstLine="480"/>
        <w:rPr>
          <w:rFonts w:ascii="宋体" w:hAnsi="宋体" w:cs="宋体"/>
          <w:szCs w:val="21"/>
          <w:lang w:val="zh-CN"/>
        </w:rPr>
      </w:pPr>
      <w:r>
        <w:rPr>
          <w:rFonts w:ascii="宋体" w:hAnsi="宋体" w:cs="宋体"/>
          <w:szCs w:val="21"/>
          <w:lang w:val="zh-CN"/>
        </w:rPr>
        <w:t>4</w:t>
      </w:r>
      <w:r>
        <w:rPr>
          <w:rFonts w:hint="eastAsia" w:ascii="宋体" w:hAnsi="宋体" w:cs="宋体"/>
          <w:szCs w:val="21"/>
          <w:lang w:val="zh-CN"/>
        </w:rPr>
        <w:t>.</w:t>
      </w:r>
      <w:r>
        <w:rPr>
          <w:rFonts w:ascii="宋体" w:hAnsi="宋体" w:cs="宋体"/>
          <w:szCs w:val="21"/>
          <w:lang w:val="zh-CN"/>
        </w:rPr>
        <w:t>概算方面的标准、定额；</w:t>
      </w:r>
    </w:p>
    <w:p>
      <w:pPr>
        <w:spacing w:line="400" w:lineRule="exact"/>
        <w:ind w:firstLine="480"/>
        <w:rPr>
          <w:rFonts w:ascii="宋体" w:hAnsi="宋体" w:cs="宋体"/>
          <w:szCs w:val="21"/>
          <w:lang w:val="zh-CN"/>
        </w:rPr>
      </w:pPr>
      <w:r>
        <w:rPr>
          <w:rFonts w:ascii="宋体" w:hAnsi="宋体" w:cs="宋体"/>
          <w:szCs w:val="21"/>
          <w:lang w:val="zh-CN"/>
        </w:rPr>
        <w:t>5</w:t>
      </w:r>
      <w:r>
        <w:rPr>
          <w:rFonts w:hint="eastAsia" w:ascii="宋体" w:hAnsi="宋体" w:cs="宋体"/>
          <w:szCs w:val="21"/>
          <w:lang w:val="zh-CN"/>
        </w:rPr>
        <w:t>.</w:t>
      </w:r>
      <w:r>
        <w:rPr>
          <w:rFonts w:ascii="宋体" w:hAnsi="宋体" w:cs="宋体"/>
          <w:szCs w:val="21"/>
          <w:lang w:val="zh-CN"/>
        </w:rPr>
        <w:t>其他。</w:t>
      </w:r>
    </w:p>
    <w:p>
      <w:pPr>
        <w:spacing w:line="400" w:lineRule="exact"/>
        <w:ind w:firstLine="480"/>
        <w:rPr>
          <w:rFonts w:ascii="黑体" w:hAnsi="黑体" w:eastAsia="黑体" w:cs="黑体"/>
          <w:szCs w:val="21"/>
          <w:lang w:val="zh-CN"/>
        </w:rPr>
      </w:pPr>
      <w:r>
        <w:rPr>
          <w:rFonts w:ascii="黑体" w:hAnsi="黑体" w:eastAsia="黑体" w:cs="黑体"/>
          <w:szCs w:val="21"/>
          <w:lang w:val="zh-CN"/>
        </w:rPr>
        <w:t>三、可研批复执行情况</w:t>
      </w:r>
    </w:p>
    <w:p>
      <w:pPr>
        <w:spacing w:line="400" w:lineRule="exact"/>
        <w:ind w:firstLine="480"/>
        <w:rPr>
          <w:rFonts w:ascii="宋体" w:hAnsi="宋体" w:cs="宋体"/>
          <w:szCs w:val="21"/>
          <w:lang w:val="zh-CN"/>
        </w:rPr>
      </w:pPr>
      <w:r>
        <w:rPr>
          <w:rFonts w:ascii="宋体" w:hAnsi="宋体" w:cs="宋体"/>
          <w:szCs w:val="21"/>
          <w:lang w:val="zh-CN"/>
        </w:rPr>
        <w:t>说明项目可研批复的主要内容和本次初步设计提出的建设内容、规模和投资，并明确指出两者之间存在的不同。</w:t>
      </w:r>
    </w:p>
    <w:p>
      <w:pPr>
        <w:spacing w:line="400" w:lineRule="exact"/>
        <w:ind w:firstLine="480"/>
        <w:rPr>
          <w:rFonts w:ascii="黑体" w:hAnsi="黑体" w:eastAsia="黑体" w:cs="黑体"/>
          <w:szCs w:val="21"/>
          <w:lang w:val="zh-CN"/>
        </w:rPr>
      </w:pPr>
      <w:r>
        <w:rPr>
          <w:rFonts w:ascii="黑体" w:hAnsi="黑体" w:eastAsia="黑体" w:cs="黑体"/>
          <w:szCs w:val="21"/>
          <w:lang w:val="zh-CN"/>
        </w:rPr>
        <w:t>四、具体评</w:t>
      </w:r>
      <w:r>
        <w:rPr>
          <w:rFonts w:hint="eastAsia" w:ascii="黑体" w:hAnsi="黑体" w:eastAsia="黑体" w:cs="黑体"/>
          <w:szCs w:val="21"/>
          <w:lang w:val="zh-CN"/>
        </w:rPr>
        <w:t>估</w:t>
      </w:r>
      <w:r>
        <w:rPr>
          <w:rFonts w:ascii="黑体" w:hAnsi="黑体" w:eastAsia="黑体" w:cs="黑体"/>
          <w:szCs w:val="21"/>
          <w:lang w:val="zh-CN"/>
        </w:rPr>
        <w:t>意见</w:t>
      </w:r>
    </w:p>
    <w:p>
      <w:pPr>
        <w:spacing w:line="400" w:lineRule="exact"/>
        <w:ind w:firstLine="480"/>
        <w:rPr>
          <w:rFonts w:ascii="宋体" w:hAnsi="宋体" w:cs="宋体"/>
          <w:szCs w:val="21"/>
          <w:lang w:val="zh-CN"/>
        </w:rPr>
      </w:pPr>
      <w:r>
        <w:rPr>
          <w:rFonts w:ascii="宋体" w:hAnsi="宋体" w:cs="宋体"/>
          <w:szCs w:val="21"/>
          <w:lang w:val="zh-CN"/>
        </w:rPr>
        <w:t>本部分按照专业技术方案分别叙述。具体内容要分三段式叙述，第一段摘抄文本（修改终稿）叙述的内容，第二段描述采纳专家主要意见修改的内容，第三段作出评</w:t>
      </w:r>
      <w:r>
        <w:rPr>
          <w:rFonts w:hint="eastAsia" w:ascii="宋体" w:hAnsi="宋体" w:cs="宋体"/>
          <w:szCs w:val="21"/>
          <w:lang w:val="zh-CN"/>
        </w:rPr>
        <w:t>估</w:t>
      </w:r>
      <w:r>
        <w:rPr>
          <w:rFonts w:ascii="宋体" w:hAnsi="宋体" w:cs="宋体"/>
          <w:szCs w:val="21"/>
          <w:lang w:val="zh-CN"/>
        </w:rPr>
        <w:t>结论。</w:t>
      </w:r>
    </w:p>
    <w:p>
      <w:pPr>
        <w:spacing w:line="400" w:lineRule="exact"/>
        <w:ind w:firstLine="480"/>
        <w:rPr>
          <w:rFonts w:ascii="黑体" w:hAnsi="黑体" w:eastAsia="黑体" w:cs="黑体"/>
          <w:szCs w:val="21"/>
          <w:lang w:val="zh-CN"/>
        </w:rPr>
      </w:pPr>
      <w:r>
        <w:rPr>
          <w:rFonts w:ascii="黑体" w:hAnsi="黑体" w:eastAsia="黑体" w:cs="黑体"/>
          <w:szCs w:val="21"/>
          <w:lang w:val="zh-CN"/>
        </w:rPr>
        <w:t>（一）建筑工程</w:t>
      </w:r>
    </w:p>
    <w:p>
      <w:pPr>
        <w:spacing w:line="400" w:lineRule="exact"/>
        <w:ind w:firstLine="480"/>
        <w:rPr>
          <w:rFonts w:hint="eastAsia" w:ascii="宋体" w:hAnsi="宋体" w:cs="宋体"/>
          <w:szCs w:val="21"/>
          <w:lang w:val="zh-CN"/>
        </w:rPr>
      </w:pPr>
      <w:r>
        <w:rPr>
          <w:rFonts w:ascii="宋体" w:hAnsi="宋体" w:cs="宋体"/>
          <w:szCs w:val="21"/>
          <w:lang w:val="zh-CN"/>
        </w:rPr>
        <w:t>以标准、规范等为依据，评</w:t>
      </w:r>
      <w:r>
        <w:rPr>
          <w:rFonts w:hint="eastAsia" w:ascii="宋体" w:hAnsi="宋体" w:cs="宋体"/>
          <w:szCs w:val="21"/>
          <w:lang w:val="zh-CN"/>
        </w:rPr>
        <w:t>估</w:t>
      </w:r>
      <w:r>
        <w:rPr>
          <w:rFonts w:ascii="宋体" w:hAnsi="宋体" w:cs="宋体"/>
          <w:szCs w:val="21"/>
          <w:lang w:val="zh-CN"/>
        </w:rPr>
        <w:t>项目的建筑面积、层高、层数、外立面材料、功能及分布等内容的准确性和合理性</w:t>
      </w:r>
      <w:r>
        <w:rPr>
          <w:rFonts w:hint="eastAsia" w:ascii="宋体" w:hAnsi="宋体" w:cs="宋体"/>
          <w:szCs w:val="21"/>
          <w:lang w:val="zh-CN"/>
        </w:rPr>
        <w:t>。</w:t>
      </w:r>
    </w:p>
    <w:p>
      <w:pPr>
        <w:spacing w:line="400" w:lineRule="exact"/>
        <w:ind w:firstLine="480"/>
        <w:rPr>
          <w:rFonts w:ascii="黑体" w:hAnsi="黑体" w:eastAsia="黑体" w:cs="黑体"/>
          <w:szCs w:val="21"/>
          <w:lang w:val="zh-CN"/>
        </w:rPr>
      </w:pPr>
      <w:r>
        <w:rPr>
          <w:rFonts w:ascii="黑体" w:hAnsi="黑体" w:eastAsia="黑体" w:cs="黑体"/>
          <w:szCs w:val="21"/>
          <w:lang w:val="zh-CN"/>
        </w:rPr>
        <w:t>（二）结构工程</w:t>
      </w:r>
    </w:p>
    <w:p>
      <w:pPr>
        <w:spacing w:line="400" w:lineRule="exact"/>
        <w:ind w:firstLine="480"/>
        <w:rPr>
          <w:rFonts w:ascii="宋体" w:hAnsi="宋体" w:cs="宋体"/>
          <w:szCs w:val="21"/>
          <w:lang w:val="zh-CN"/>
        </w:rPr>
      </w:pPr>
      <w:r>
        <w:rPr>
          <w:rFonts w:ascii="宋体" w:hAnsi="宋体" w:cs="宋体"/>
          <w:szCs w:val="21"/>
          <w:lang w:val="zh-CN"/>
        </w:rPr>
        <w:t>以标准、规范等为依据，评</w:t>
      </w:r>
      <w:r>
        <w:rPr>
          <w:rFonts w:hint="eastAsia" w:ascii="宋体" w:hAnsi="宋体" w:cs="宋体"/>
          <w:szCs w:val="21"/>
          <w:lang w:val="zh-CN"/>
        </w:rPr>
        <w:t>估</w:t>
      </w:r>
      <w:r>
        <w:rPr>
          <w:rFonts w:ascii="宋体" w:hAnsi="宋体" w:cs="宋体"/>
          <w:szCs w:val="21"/>
          <w:lang w:val="zh-CN"/>
        </w:rPr>
        <w:t>项目的建筑结构安全等级、使用年限、抗震设防类别、建筑结构形式、基础形式等内容的的准确性和合理性。</w:t>
      </w:r>
    </w:p>
    <w:p>
      <w:pPr>
        <w:spacing w:line="400" w:lineRule="exact"/>
        <w:ind w:firstLine="480"/>
        <w:rPr>
          <w:rFonts w:ascii="黑体" w:hAnsi="黑体" w:eastAsia="黑体" w:cs="黑体"/>
          <w:szCs w:val="21"/>
          <w:lang w:val="zh-CN"/>
        </w:rPr>
      </w:pPr>
      <w:r>
        <w:rPr>
          <w:rFonts w:ascii="黑体" w:hAnsi="黑体" w:eastAsia="黑体" w:cs="黑体"/>
          <w:szCs w:val="21"/>
          <w:lang w:val="zh-CN"/>
        </w:rPr>
        <w:t>（三）电气工程</w:t>
      </w:r>
    </w:p>
    <w:p>
      <w:pPr>
        <w:spacing w:line="400" w:lineRule="exact"/>
        <w:ind w:firstLine="480"/>
        <w:rPr>
          <w:rFonts w:ascii="宋体" w:hAnsi="宋体" w:cs="宋体"/>
          <w:szCs w:val="21"/>
          <w:lang w:val="zh-CN"/>
        </w:rPr>
      </w:pPr>
      <w:r>
        <w:rPr>
          <w:rFonts w:ascii="宋体" w:hAnsi="宋体" w:cs="宋体"/>
          <w:szCs w:val="21"/>
          <w:lang w:val="zh-CN"/>
        </w:rPr>
        <w:t>以标准、规范等为依据，评</w:t>
      </w:r>
      <w:r>
        <w:rPr>
          <w:rFonts w:hint="eastAsia" w:ascii="宋体" w:hAnsi="宋体" w:cs="宋体"/>
          <w:szCs w:val="21"/>
          <w:lang w:val="zh-CN"/>
        </w:rPr>
        <w:t>估</w:t>
      </w:r>
      <w:r>
        <w:rPr>
          <w:rFonts w:ascii="宋体" w:hAnsi="宋体" w:cs="宋体"/>
          <w:szCs w:val="21"/>
          <w:lang w:val="zh-CN"/>
        </w:rPr>
        <w:t>项目的负荷等级、供电电源、备用电源、配电方式、输配电管材、智能化系统、电气系统等内容的准确性和合理性。</w:t>
      </w:r>
    </w:p>
    <w:p>
      <w:pPr>
        <w:spacing w:line="400" w:lineRule="exact"/>
        <w:ind w:firstLine="480"/>
        <w:rPr>
          <w:rFonts w:ascii="黑体" w:hAnsi="黑体" w:eastAsia="黑体" w:cs="黑体"/>
          <w:szCs w:val="21"/>
          <w:lang w:val="zh-CN"/>
        </w:rPr>
      </w:pPr>
      <w:r>
        <w:rPr>
          <w:rFonts w:ascii="黑体" w:hAnsi="黑体" w:eastAsia="黑体" w:cs="黑体"/>
          <w:szCs w:val="21"/>
          <w:lang w:val="zh-CN"/>
        </w:rPr>
        <w:t>（四）给排水工程</w:t>
      </w:r>
    </w:p>
    <w:p>
      <w:pPr>
        <w:spacing w:line="400" w:lineRule="exact"/>
        <w:ind w:firstLine="480"/>
        <w:rPr>
          <w:rFonts w:ascii="宋体" w:hAnsi="宋体" w:cs="宋体"/>
          <w:szCs w:val="21"/>
          <w:lang w:val="zh-CN"/>
        </w:rPr>
      </w:pPr>
      <w:r>
        <w:rPr>
          <w:rFonts w:ascii="宋体" w:hAnsi="宋体" w:cs="宋体"/>
          <w:szCs w:val="21"/>
          <w:lang w:val="zh-CN"/>
        </w:rPr>
        <w:t>以标准、规范等为依据，评</w:t>
      </w:r>
      <w:r>
        <w:rPr>
          <w:rFonts w:hint="eastAsia" w:ascii="宋体" w:hAnsi="宋体" w:cs="宋体"/>
          <w:szCs w:val="21"/>
          <w:lang w:val="zh-CN"/>
        </w:rPr>
        <w:t>估</w:t>
      </w:r>
      <w:r>
        <w:rPr>
          <w:rFonts w:ascii="宋体" w:hAnsi="宋体" w:cs="宋体"/>
          <w:szCs w:val="21"/>
          <w:lang w:val="zh-CN"/>
        </w:rPr>
        <w:t>项目的给水系统方式、给水水源、室内外排水、给排水采用管材、消防供水系统等内容的准确性和合理性。</w:t>
      </w:r>
    </w:p>
    <w:p>
      <w:pPr>
        <w:spacing w:line="400" w:lineRule="exact"/>
        <w:ind w:firstLine="480"/>
        <w:rPr>
          <w:rFonts w:ascii="黑体" w:hAnsi="黑体" w:eastAsia="黑体" w:cs="黑体"/>
          <w:szCs w:val="21"/>
          <w:lang w:val="zh-CN"/>
        </w:rPr>
      </w:pPr>
      <w:r>
        <w:rPr>
          <w:rFonts w:ascii="黑体" w:hAnsi="黑体" w:eastAsia="黑体" w:cs="黑体"/>
          <w:szCs w:val="21"/>
          <w:lang w:val="zh-CN"/>
        </w:rPr>
        <w:t>（五）暖通工程</w:t>
      </w:r>
    </w:p>
    <w:p>
      <w:pPr>
        <w:spacing w:line="400" w:lineRule="exact"/>
        <w:ind w:firstLine="480"/>
        <w:rPr>
          <w:rFonts w:hint="eastAsia" w:ascii="宋体" w:hAnsi="宋体" w:cs="宋体"/>
          <w:szCs w:val="21"/>
          <w:lang w:val="zh-CN"/>
        </w:rPr>
      </w:pPr>
      <w:r>
        <w:rPr>
          <w:rFonts w:ascii="宋体" w:hAnsi="宋体" w:cs="宋体"/>
          <w:szCs w:val="21"/>
          <w:lang w:val="zh-CN"/>
        </w:rPr>
        <w:t>以标准、规范等为依据，评</w:t>
      </w:r>
      <w:r>
        <w:rPr>
          <w:rFonts w:hint="eastAsia" w:ascii="宋体" w:hAnsi="宋体" w:cs="宋体"/>
          <w:szCs w:val="21"/>
          <w:lang w:val="zh-CN"/>
        </w:rPr>
        <w:t>估</w:t>
      </w:r>
      <w:r>
        <w:rPr>
          <w:rFonts w:ascii="宋体" w:hAnsi="宋体" w:cs="宋体"/>
          <w:szCs w:val="21"/>
          <w:lang w:val="zh-CN"/>
        </w:rPr>
        <w:t>项目的冷热源、供热系统、通风系统方式、管材等内容的准确性和合理性。</w:t>
      </w:r>
    </w:p>
    <w:p>
      <w:pPr>
        <w:spacing w:line="400" w:lineRule="exact"/>
        <w:ind w:firstLine="480"/>
        <w:rPr>
          <w:rFonts w:hint="eastAsia" w:ascii="黑体" w:hAnsi="黑体" w:eastAsia="黑体" w:cs="黑体"/>
          <w:szCs w:val="21"/>
          <w:lang w:val="zh-CN"/>
        </w:rPr>
      </w:pPr>
      <w:r>
        <w:rPr>
          <w:rFonts w:hint="eastAsia" w:ascii="黑体" w:hAnsi="黑体" w:eastAsia="黑体" w:cs="黑体"/>
          <w:szCs w:val="21"/>
          <w:lang w:val="zh-CN"/>
        </w:rPr>
        <w:t>（六）消防工程</w:t>
      </w:r>
    </w:p>
    <w:p>
      <w:pPr>
        <w:spacing w:line="400" w:lineRule="exact"/>
        <w:ind w:firstLine="480"/>
        <w:rPr>
          <w:rFonts w:ascii="宋体" w:hAnsi="宋体" w:cs="宋体"/>
          <w:szCs w:val="21"/>
          <w:lang w:val="zh-CN"/>
        </w:rPr>
      </w:pPr>
      <w:r>
        <w:rPr>
          <w:rFonts w:hint="eastAsia" w:ascii="宋体" w:hAnsi="宋体" w:cs="宋体"/>
          <w:szCs w:val="21"/>
          <w:lang w:val="zh-CN"/>
        </w:rPr>
        <w:t>以规范、标准为依据，评估项目在建筑、给排水、通风、电气等专业领域所采用的各项消防措施的准确性、全面性和合理性。</w:t>
      </w:r>
    </w:p>
    <w:p>
      <w:pPr>
        <w:spacing w:line="400" w:lineRule="exact"/>
        <w:ind w:firstLine="480"/>
        <w:rPr>
          <w:rFonts w:ascii="黑体" w:hAnsi="黑体" w:eastAsia="黑体" w:cs="黑体"/>
          <w:szCs w:val="21"/>
          <w:lang w:val="zh-CN"/>
        </w:rPr>
      </w:pPr>
      <w:r>
        <w:rPr>
          <w:rFonts w:ascii="黑体" w:hAnsi="黑体" w:eastAsia="黑体" w:cs="黑体"/>
          <w:szCs w:val="21"/>
          <w:lang w:val="zh-CN"/>
        </w:rPr>
        <w:t>（</w:t>
      </w:r>
      <w:r>
        <w:rPr>
          <w:rFonts w:hint="eastAsia" w:ascii="黑体" w:hAnsi="黑体" w:eastAsia="黑体" w:cs="黑体"/>
          <w:szCs w:val="21"/>
          <w:lang w:val="zh-CN"/>
        </w:rPr>
        <w:t>七</w:t>
      </w:r>
      <w:r>
        <w:rPr>
          <w:rFonts w:ascii="黑体" w:hAnsi="黑体" w:eastAsia="黑体" w:cs="黑体"/>
          <w:szCs w:val="21"/>
          <w:lang w:val="zh-CN"/>
        </w:rPr>
        <w:t>）项目概算</w:t>
      </w:r>
    </w:p>
    <w:p>
      <w:pPr>
        <w:spacing w:line="400" w:lineRule="exact"/>
        <w:ind w:firstLine="480"/>
        <w:rPr>
          <w:rFonts w:ascii="宋体" w:hAnsi="宋体" w:cs="宋体"/>
          <w:szCs w:val="21"/>
          <w:lang w:val="zh-CN"/>
        </w:rPr>
      </w:pPr>
      <w:r>
        <w:rPr>
          <w:rFonts w:ascii="宋体" w:hAnsi="宋体" w:cs="宋体"/>
          <w:szCs w:val="21"/>
          <w:lang w:val="zh-CN"/>
        </w:rPr>
        <w:t>根据确定的建设规模、建设条件、项目技术方案、进度计划等内容，依据相关政策文件、技术规范、概算指标、计价定额、费用标准、市场价格信息和类似工程造价等，评</w:t>
      </w:r>
      <w:r>
        <w:rPr>
          <w:rFonts w:hint="eastAsia" w:ascii="宋体" w:hAnsi="宋体" w:cs="宋体"/>
          <w:szCs w:val="21"/>
          <w:lang w:val="zh-CN"/>
        </w:rPr>
        <w:t>估</w:t>
      </w:r>
      <w:r>
        <w:rPr>
          <w:rFonts w:ascii="宋体" w:hAnsi="宋体" w:cs="宋体"/>
          <w:szCs w:val="21"/>
          <w:lang w:val="zh-CN"/>
        </w:rPr>
        <w:t>本项目概算编制说明及总价的合理可行性。</w:t>
      </w:r>
    </w:p>
    <w:p>
      <w:pPr>
        <w:spacing w:line="400" w:lineRule="exact"/>
        <w:ind w:firstLine="480"/>
        <w:rPr>
          <w:rFonts w:ascii="黑体" w:hAnsi="黑体" w:eastAsia="黑体" w:cs="黑体"/>
          <w:szCs w:val="21"/>
          <w:lang w:val="zh-CN"/>
        </w:rPr>
      </w:pPr>
      <w:r>
        <w:rPr>
          <w:rFonts w:ascii="黑体" w:hAnsi="黑体" w:eastAsia="黑体" w:cs="黑体"/>
          <w:szCs w:val="21"/>
          <w:lang w:val="zh-CN"/>
        </w:rPr>
        <w:t>五、结论及建议</w:t>
      </w:r>
    </w:p>
    <w:p>
      <w:pPr>
        <w:spacing w:line="400" w:lineRule="exact"/>
        <w:ind w:firstLine="480"/>
        <w:rPr>
          <w:rFonts w:ascii="宋体" w:hAnsi="宋体" w:cs="宋体"/>
          <w:szCs w:val="21"/>
          <w:lang w:val="zh-CN"/>
        </w:rPr>
      </w:pPr>
      <w:r>
        <w:rPr>
          <w:rFonts w:ascii="宋体" w:hAnsi="宋体" w:cs="宋体"/>
          <w:szCs w:val="21"/>
          <w:lang w:val="zh-CN"/>
        </w:rPr>
        <w:t>总结阐述本项目《初步设计》的总体评</w:t>
      </w:r>
      <w:r>
        <w:rPr>
          <w:rFonts w:hint="eastAsia" w:ascii="宋体" w:hAnsi="宋体" w:cs="宋体"/>
          <w:szCs w:val="21"/>
          <w:lang w:val="zh-CN"/>
        </w:rPr>
        <w:t>估</w:t>
      </w:r>
      <w:r>
        <w:rPr>
          <w:rFonts w:ascii="宋体" w:hAnsi="宋体" w:cs="宋体"/>
          <w:szCs w:val="21"/>
          <w:lang w:val="zh-CN"/>
        </w:rPr>
        <w:t>结论，论述项目规模和内容的合理性、编制深度的规范性、各专业方案的可行性、概算的准确性等。</w:t>
      </w:r>
    </w:p>
    <w:p>
      <w:pPr>
        <w:spacing w:line="400" w:lineRule="exact"/>
        <w:ind w:firstLine="480"/>
        <w:rPr>
          <w:rFonts w:ascii="宋体" w:hAnsi="宋体" w:cs="宋体"/>
          <w:szCs w:val="21"/>
          <w:lang w:val="zh-CN"/>
        </w:rPr>
      </w:pPr>
      <w:r>
        <w:rPr>
          <w:rFonts w:ascii="宋体" w:hAnsi="宋体" w:cs="宋体"/>
          <w:szCs w:val="21"/>
          <w:lang w:val="zh-CN"/>
        </w:rPr>
        <w:t>对专家组及专家提出的修改意见未采纳或采纳不到位的部分，提出在下一阶段完善的意见和建议。</w:t>
      </w:r>
    </w:p>
    <w:p>
      <w:pPr>
        <w:spacing w:line="400" w:lineRule="exact"/>
        <w:ind w:firstLine="480"/>
        <w:rPr>
          <w:rFonts w:ascii="黑体" w:hAnsi="黑体" w:eastAsia="黑体" w:cs="黑体"/>
          <w:szCs w:val="21"/>
          <w:lang w:val="zh-CN"/>
        </w:rPr>
      </w:pPr>
      <w:r>
        <w:rPr>
          <w:rFonts w:ascii="黑体" w:hAnsi="黑体" w:eastAsia="黑体" w:cs="黑体"/>
          <w:szCs w:val="21"/>
          <w:lang w:val="zh-CN"/>
        </w:rPr>
        <w:t>附表：</w:t>
      </w:r>
    </w:p>
    <w:p>
      <w:pPr>
        <w:spacing w:line="400" w:lineRule="exact"/>
        <w:ind w:firstLine="480"/>
        <w:rPr>
          <w:rFonts w:ascii="宋体" w:hAnsi="宋体" w:cs="宋体"/>
          <w:szCs w:val="21"/>
          <w:lang w:val="zh-CN"/>
        </w:rPr>
      </w:pPr>
      <w:r>
        <w:rPr>
          <w:rFonts w:ascii="宋体" w:hAnsi="宋体" w:cs="宋体"/>
          <w:szCs w:val="21"/>
          <w:lang w:val="zh-CN"/>
        </w:rPr>
        <w:t>项目概算评</w:t>
      </w:r>
      <w:r>
        <w:rPr>
          <w:rFonts w:hint="eastAsia" w:ascii="宋体" w:hAnsi="宋体" w:cs="宋体"/>
          <w:szCs w:val="21"/>
          <w:lang w:val="zh-CN"/>
        </w:rPr>
        <w:t>估</w:t>
      </w:r>
      <w:r>
        <w:rPr>
          <w:rFonts w:ascii="宋体" w:hAnsi="宋体" w:cs="宋体"/>
          <w:szCs w:val="21"/>
          <w:lang w:val="zh-CN"/>
        </w:rPr>
        <w:t>前后对比表</w:t>
      </w:r>
    </w:p>
    <w:p>
      <w:pPr>
        <w:spacing w:line="400" w:lineRule="exact"/>
        <w:ind w:firstLine="480"/>
        <w:rPr>
          <w:rFonts w:hint="eastAsia" w:ascii="宋体" w:hAnsi="宋体" w:cs="宋体"/>
          <w:szCs w:val="21"/>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lang w:val="zh-CN"/>
        </w:rPr>
      </w:pPr>
    </w:p>
    <w:p>
      <w:pPr>
        <w:pStyle w:val="25"/>
        <w:spacing w:before="312" w:after="312"/>
        <w:rPr>
          <w:rFonts w:hint="eastAsia"/>
        </w:rPr>
      </w:pPr>
      <w:r>
        <w:rPr>
          <w:lang w:val="zh-CN"/>
        </w:rPr>
        <w:t>调整概算</w:t>
      </w:r>
    </w:p>
    <w:p>
      <w:pPr>
        <w:pStyle w:val="11"/>
        <w:spacing w:before="156" w:beforeLines="50" w:after="156" w:afterLines="50"/>
        <w:ind w:firstLine="0" w:firstLineChars="0"/>
        <w:jc w:val="center"/>
        <w:rPr>
          <w:rFonts w:ascii="黑体" w:hAnsi="黑体" w:eastAsia="黑体" w:cs="黑体"/>
          <w:sz w:val="28"/>
          <w:szCs w:val="28"/>
          <w:lang w:val="zh-CN"/>
        </w:rPr>
      </w:pPr>
      <w:r>
        <w:rPr>
          <w:rFonts w:hint="eastAsia" w:ascii="黑体" w:hAnsi="黑体" w:eastAsia="黑体" w:cs="黑体"/>
          <w:sz w:val="28"/>
          <w:szCs w:val="28"/>
          <w:lang w:val="zh-CN"/>
        </w:rPr>
        <w:t>××</w:t>
      </w:r>
      <w:r>
        <w:rPr>
          <w:rFonts w:ascii="黑体" w:hAnsi="黑体" w:eastAsia="黑体" w:cs="黑体"/>
          <w:sz w:val="28"/>
          <w:szCs w:val="28"/>
          <w:lang w:val="zh-CN"/>
        </w:rPr>
        <w:t>项目调整概算评</w:t>
      </w:r>
      <w:r>
        <w:rPr>
          <w:rFonts w:hint="eastAsia" w:ascii="黑体" w:hAnsi="黑体" w:eastAsia="黑体" w:cs="黑体"/>
          <w:sz w:val="28"/>
          <w:szCs w:val="28"/>
          <w:lang w:val="zh-CN"/>
        </w:rPr>
        <w:t>估</w:t>
      </w:r>
      <w:r>
        <w:rPr>
          <w:rFonts w:ascii="黑体" w:hAnsi="黑体" w:eastAsia="黑体" w:cs="黑体"/>
          <w:sz w:val="28"/>
          <w:szCs w:val="28"/>
          <w:lang w:val="zh-CN"/>
        </w:rPr>
        <w:t>报告（示例）</w:t>
      </w:r>
    </w:p>
    <w:p>
      <w:pPr>
        <w:spacing w:line="400" w:lineRule="exact"/>
        <w:rPr>
          <w:rFonts w:ascii="宋体" w:hAnsi="宋体" w:cs="宋体"/>
          <w:szCs w:val="21"/>
          <w:lang w:val="zh-CN"/>
        </w:rPr>
      </w:pPr>
      <w:r>
        <w:rPr>
          <w:rFonts w:hint="eastAsia" w:ascii="宋体" w:hAnsi="宋体" w:cs="宋体"/>
          <w:szCs w:val="21"/>
        </w:rPr>
        <w:t>（政府投资管理部门）</w:t>
      </w:r>
      <w:r>
        <w:rPr>
          <w:rFonts w:ascii="宋体" w:hAnsi="宋体" w:cs="宋体"/>
          <w:szCs w:val="21"/>
          <w:lang w:val="zh-CN"/>
        </w:rPr>
        <w:t>：</w:t>
      </w:r>
    </w:p>
    <w:p>
      <w:pPr>
        <w:spacing w:line="400" w:lineRule="exact"/>
        <w:ind w:firstLine="420" w:firstLineChars="200"/>
        <w:rPr>
          <w:rFonts w:ascii="宋体" w:hAnsi="宋体" w:cs="宋体"/>
          <w:szCs w:val="21"/>
          <w:lang w:val="zh-CN"/>
        </w:rPr>
      </w:pPr>
      <w:r>
        <w:rPr>
          <w:rFonts w:ascii="宋体" w:hAnsi="宋体" w:cs="宋体"/>
          <w:szCs w:val="21"/>
          <w:lang w:val="zh-CN"/>
        </w:rPr>
        <w:t>受贵</w:t>
      </w:r>
      <w:r>
        <w:rPr>
          <w:rFonts w:hint="eastAsia" w:ascii="宋体" w:hAnsi="宋体" w:cs="宋体"/>
          <w:szCs w:val="21"/>
        </w:rPr>
        <w:t>单位</w:t>
      </w:r>
      <w:r>
        <w:rPr>
          <w:rFonts w:ascii="宋体" w:hAnsi="宋体" w:cs="宋体"/>
          <w:szCs w:val="21"/>
          <w:lang w:val="zh-CN"/>
        </w:rPr>
        <w:t>委托，我中心</w:t>
      </w:r>
      <w:r>
        <w:rPr>
          <w:rFonts w:hint="eastAsia" w:ascii="宋体" w:hAnsi="宋体" w:cs="宋体"/>
          <w:szCs w:val="21"/>
          <w:lang w:val="zh-CN"/>
        </w:rPr>
        <w:t>（</w:t>
      </w:r>
      <w:r>
        <w:rPr>
          <w:rFonts w:hint="eastAsia" w:ascii="宋体" w:hAnsi="宋体" w:cs="宋体"/>
          <w:szCs w:val="21"/>
        </w:rPr>
        <w:t>公司</w:t>
      </w:r>
      <w:r>
        <w:rPr>
          <w:rFonts w:hint="eastAsia" w:ascii="宋体" w:hAnsi="宋体" w:cs="宋体"/>
          <w:szCs w:val="21"/>
          <w:lang w:val="zh-CN"/>
        </w:rPr>
        <w:t>）</w:t>
      </w:r>
      <w:r>
        <w:rPr>
          <w:rFonts w:ascii="宋体" w:hAnsi="宋体" w:cs="宋体"/>
          <w:szCs w:val="21"/>
          <w:lang w:val="zh-CN"/>
        </w:rPr>
        <w:t>对《××项目调整概算书》（以下简称《调整概算书》）进行了评</w:t>
      </w:r>
      <w:r>
        <w:rPr>
          <w:rFonts w:hint="eastAsia" w:ascii="宋体" w:hAnsi="宋体" w:cs="宋体"/>
          <w:szCs w:val="21"/>
          <w:lang w:val="zh-CN"/>
        </w:rPr>
        <w:t>估</w:t>
      </w:r>
      <w:r>
        <w:rPr>
          <w:rFonts w:ascii="宋体" w:hAnsi="宋体" w:cs="宋体"/>
          <w:szCs w:val="21"/>
          <w:lang w:val="zh-CN"/>
        </w:rPr>
        <w:t>，现将评</w:t>
      </w:r>
      <w:r>
        <w:rPr>
          <w:rFonts w:hint="eastAsia" w:ascii="宋体" w:hAnsi="宋体" w:cs="宋体"/>
          <w:szCs w:val="21"/>
          <w:lang w:val="zh-CN"/>
        </w:rPr>
        <w:t>估</w:t>
      </w:r>
      <w:r>
        <w:rPr>
          <w:rFonts w:ascii="宋体" w:hAnsi="宋体" w:cs="宋体"/>
          <w:szCs w:val="21"/>
          <w:lang w:val="zh-CN"/>
        </w:rPr>
        <w:t>情况报告如下：</w:t>
      </w:r>
    </w:p>
    <w:p>
      <w:pPr>
        <w:spacing w:line="400" w:lineRule="exact"/>
        <w:ind w:firstLine="420" w:firstLineChars="200"/>
        <w:rPr>
          <w:rFonts w:hint="eastAsia" w:ascii="黑体" w:hAnsi="黑体" w:eastAsia="黑体" w:cs="黑体"/>
          <w:szCs w:val="21"/>
          <w:lang w:val="zh-CN"/>
        </w:rPr>
      </w:pPr>
      <w:r>
        <w:rPr>
          <w:rFonts w:hint="eastAsia" w:ascii="黑体" w:hAnsi="黑体" w:eastAsia="黑体" w:cs="黑体"/>
          <w:szCs w:val="21"/>
          <w:lang w:val="zh-CN"/>
        </w:rPr>
        <w:t>一、项目摘要</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（一）项目概况</w:t>
      </w:r>
    </w:p>
    <w:p>
      <w:pPr>
        <w:spacing w:line="400" w:lineRule="exact"/>
        <w:ind w:firstLine="420" w:firstLineChars="200"/>
        <w:rPr>
          <w:rFonts w:ascii="宋体" w:hAnsi="宋体" w:cs="宋体"/>
          <w:szCs w:val="21"/>
          <w:lang w:val="zh-CN"/>
        </w:rPr>
      </w:pPr>
      <w:r>
        <w:rPr>
          <w:rFonts w:hint="eastAsia" w:ascii="宋体" w:hAnsi="宋体" w:cs="宋体"/>
          <w:szCs w:val="21"/>
          <w:lang w:val="zh-CN"/>
        </w:rPr>
        <w:t>××</w:t>
      </w:r>
      <w:r>
        <w:rPr>
          <w:rFonts w:ascii="宋体" w:hAnsi="宋体" w:cs="宋体"/>
          <w:szCs w:val="21"/>
          <w:lang w:val="zh-CN"/>
        </w:rPr>
        <w:t>工程位于</w:t>
      </w:r>
      <w:r>
        <w:rPr>
          <w:rFonts w:hint="eastAsia" w:ascii="宋体" w:hAnsi="宋体" w:cs="宋体"/>
          <w:szCs w:val="21"/>
          <w:lang w:val="zh-CN"/>
        </w:rPr>
        <w:t>××</w:t>
      </w:r>
      <w:r>
        <w:rPr>
          <w:rFonts w:ascii="宋体" w:hAnsi="宋体" w:cs="宋体"/>
          <w:szCs w:val="21"/>
          <w:lang w:val="zh-CN"/>
        </w:rPr>
        <w:t>，地下</w:t>
      </w:r>
      <w:r>
        <w:rPr>
          <w:rFonts w:hint="eastAsia" w:ascii="宋体" w:hAnsi="宋体" w:cs="宋体"/>
          <w:szCs w:val="21"/>
          <w:lang w:val="zh-CN"/>
        </w:rPr>
        <w:t>××</w:t>
      </w:r>
      <w:r>
        <w:rPr>
          <w:rFonts w:ascii="宋体" w:hAnsi="宋体" w:cs="宋体"/>
          <w:szCs w:val="21"/>
          <w:lang w:val="zh-CN"/>
        </w:rPr>
        <w:t>层，地上</w:t>
      </w:r>
      <w:r>
        <w:rPr>
          <w:rFonts w:hint="eastAsia" w:ascii="宋体" w:hAnsi="宋体" w:cs="宋体"/>
          <w:szCs w:val="21"/>
          <w:lang w:val="zh-CN"/>
        </w:rPr>
        <w:t>××</w:t>
      </w:r>
      <w:r>
        <w:rPr>
          <w:rFonts w:ascii="宋体" w:hAnsi="宋体" w:cs="宋体"/>
          <w:szCs w:val="21"/>
          <w:lang w:val="zh-CN"/>
        </w:rPr>
        <w:t>层，建筑高度</w:t>
      </w:r>
      <w:r>
        <w:rPr>
          <w:rFonts w:hint="eastAsia" w:ascii="宋体" w:hAnsi="宋体" w:cs="宋体"/>
          <w:szCs w:val="21"/>
          <w:lang w:val="zh-CN"/>
        </w:rPr>
        <w:t>××</w:t>
      </w:r>
      <w:r>
        <w:rPr>
          <w:rFonts w:ascii="宋体" w:hAnsi="宋体" w:cs="宋体"/>
          <w:szCs w:val="21"/>
          <w:lang w:val="zh-CN"/>
        </w:rPr>
        <w:t>，建筑面积</w:t>
      </w:r>
      <w:r>
        <w:rPr>
          <w:rFonts w:hint="eastAsia" w:ascii="宋体" w:hAnsi="宋体" w:cs="宋体"/>
          <w:szCs w:val="21"/>
          <w:lang w:val="zh-CN"/>
        </w:rPr>
        <w:t>××</w:t>
      </w:r>
      <w:r>
        <w:rPr>
          <w:rFonts w:ascii="宋体" w:hAnsi="宋体" w:cs="宋体"/>
          <w:szCs w:val="21"/>
          <w:lang w:val="zh-CN"/>
        </w:rPr>
        <w:t>，结构形式</w:t>
      </w:r>
      <w:r>
        <w:rPr>
          <w:rFonts w:hint="eastAsia" w:ascii="宋体" w:hAnsi="宋体" w:cs="宋体"/>
          <w:szCs w:val="21"/>
          <w:lang w:val="zh-CN"/>
        </w:rPr>
        <w:t>××。</w:t>
      </w:r>
    </w:p>
    <w:p>
      <w:pPr>
        <w:spacing w:line="400" w:lineRule="exact"/>
        <w:ind w:firstLine="420" w:firstLineChars="200"/>
        <w:rPr>
          <w:rFonts w:ascii="宋体" w:hAnsi="宋体" w:cs="宋体"/>
          <w:szCs w:val="21"/>
          <w:lang w:val="zh-CN"/>
        </w:rPr>
      </w:pPr>
      <w:r>
        <w:rPr>
          <w:rFonts w:ascii="宋体" w:hAnsi="宋体" w:cs="宋体"/>
          <w:szCs w:val="21"/>
          <w:lang w:val="zh-CN"/>
        </w:rPr>
        <w:t>该建设项目于</w:t>
      </w:r>
      <w:r>
        <w:rPr>
          <w:rFonts w:hint="eastAsia" w:ascii="宋体" w:hAnsi="宋体" w:cs="宋体"/>
          <w:szCs w:val="21"/>
          <w:lang w:val="zh-CN"/>
        </w:rPr>
        <w:t>××</w:t>
      </w:r>
      <w:r>
        <w:rPr>
          <w:rFonts w:ascii="宋体" w:hAnsi="宋体" w:cs="宋体"/>
          <w:szCs w:val="21"/>
          <w:lang w:val="zh-CN"/>
        </w:rPr>
        <w:t>年</w:t>
      </w:r>
      <w:r>
        <w:rPr>
          <w:rFonts w:hint="eastAsia" w:ascii="宋体" w:hAnsi="宋体" w:cs="宋体"/>
          <w:szCs w:val="21"/>
          <w:lang w:val="zh-CN"/>
        </w:rPr>
        <w:t>××</w:t>
      </w:r>
      <w:r>
        <w:rPr>
          <w:rFonts w:ascii="宋体" w:hAnsi="宋体" w:cs="宋体"/>
          <w:szCs w:val="21"/>
          <w:lang w:val="zh-CN"/>
        </w:rPr>
        <w:t>月开</w:t>
      </w:r>
      <w:r>
        <w:rPr>
          <w:rFonts w:hint="eastAsia" w:ascii="宋体" w:hAnsi="宋体" w:cs="宋体"/>
          <w:szCs w:val="21"/>
        </w:rPr>
        <w:t>工</w:t>
      </w:r>
      <w:r>
        <w:rPr>
          <w:rFonts w:ascii="宋体" w:hAnsi="宋体" w:cs="宋体"/>
          <w:szCs w:val="21"/>
          <w:lang w:val="zh-CN"/>
        </w:rPr>
        <w:t>，预计</w:t>
      </w:r>
      <w:r>
        <w:rPr>
          <w:rFonts w:hint="eastAsia" w:ascii="宋体" w:hAnsi="宋体" w:cs="宋体"/>
          <w:szCs w:val="21"/>
          <w:lang w:val="zh-CN"/>
        </w:rPr>
        <w:t>××</w:t>
      </w:r>
      <w:r>
        <w:rPr>
          <w:rFonts w:ascii="宋体" w:hAnsi="宋体" w:cs="宋体"/>
          <w:szCs w:val="21"/>
          <w:lang w:val="zh-CN"/>
        </w:rPr>
        <w:t>年</w:t>
      </w:r>
      <w:r>
        <w:rPr>
          <w:rFonts w:hint="eastAsia" w:ascii="宋体" w:hAnsi="宋体" w:cs="宋体"/>
          <w:szCs w:val="21"/>
          <w:lang w:val="zh-CN"/>
        </w:rPr>
        <w:t>××</w:t>
      </w:r>
      <w:r>
        <w:rPr>
          <w:rFonts w:ascii="宋体" w:hAnsi="宋体" w:cs="宋体"/>
          <w:szCs w:val="21"/>
          <w:lang w:val="zh-CN"/>
        </w:rPr>
        <w:t>月底完工，截止</w:t>
      </w:r>
      <w:r>
        <w:rPr>
          <w:rFonts w:hint="eastAsia" w:ascii="宋体" w:hAnsi="宋体" w:cs="宋体"/>
          <w:szCs w:val="21"/>
          <w:lang w:val="zh-CN"/>
        </w:rPr>
        <w:t>××</w:t>
      </w:r>
      <w:r>
        <w:rPr>
          <w:rFonts w:ascii="宋体" w:hAnsi="宋体" w:cs="宋体"/>
          <w:szCs w:val="21"/>
          <w:lang w:val="zh-CN"/>
        </w:rPr>
        <w:t>年</w:t>
      </w:r>
      <w:r>
        <w:rPr>
          <w:rFonts w:hint="eastAsia" w:ascii="宋体" w:hAnsi="宋体" w:cs="宋体"/>
          <w:szCs w:val="21"/>
          <w:lang w:val="zh-CN"/>
        </w:rPr>
        <w:t>××</w:t>
      </w:r>
      <w:r>
        <w:rPr>
          <w:rFonts w:ascii="宋体" w:hAnsi="宋体" w:cs="宋体"/>
          <w:szCs w:val="21"/>
          <w:lang w:val="zh-CN"/>
        </w:rPr>
        <w:t>月，累计完成投资约</w:t>
      </w:r>
      <w:r>
        <w:rPr>
          <w:rFonts w:hint="eastAsia" w:ascii="宋体" w:hAnsi="宋体" w:cs="宋体"/>
          <w:szCs w:val="21"/>
          <w:lang w:val="zh-CN"/>
        </w:rPr>
        <w:t>××</w:t>
      </w:r>
      <w:r>
        <w:rPr>
          <w:rFonts w:ascii="宋体" w:hAnsi="宋体" w:cs="宋体"/>
          <w:szCs w:val="21"/>
          <w:lang w:val="zh-CN"/>
        </w:rPr>
        <w:t>万元，其中工程建安费用约</w:t>
      </w:r>
      <w:r>
        <w:rPr>
          <w:rFonts w:hint="eastAsia" w:ascii="宋体" w:hAnsi="宋体" w:cs="宋体"/>
          <w:szCs w:val="21"/>
          <w:lang w:val="zh-CN"/>
        </w:rPr>
        <w:t>××</w:t>
      </w:r>
      <w:r>
        <w:rPr>
          <w:rFonts w:ascii="宋体" w:hAnsi="宋体" w:cs="宋体"/>
          <w:szCs w:val="21"/>
          <w:lang w:val="zh-CN"/>
        </w:rPr>
        <w:t>万元，城建配套费</w:t>
      </w:r>
      <w:r>
        <w:rPr>
          <w:rFonts w:hint="eastAsia" w:ascii="宋体" w:hAnsi="宋体" w:cs="宋体"/>
          <w:szCs w:val="21"/>
          <w:lang w:val="zh-CN"/>
        </w:rPr>
        <w:t>××</w:t>
      </w:r>
      <w:r>
        <w:rPr>
          <w:rFonts w:ascii="宋体" w:hAnsi="宋体" w:cs="宋体"/>
          <w:szCs w:val="21"/>
          <w:lang w:val="zh-CN"/>
        </w:rPr>
        <w:t>万元，消防、弱电系统费用</w:t>
      </w:r>
      <w:r>
        <w:rPr>
          <w:rFonts w:hint="eastAsia" w:ascii="宋体" w:hAnsi="宋体" w:cs="宋体"/>
          <w:szCs w:val="21"/>
          <w:lang w:val="zh-CN"/>
        </w:rPr>
        <w:t>××</w:t>
      </w:r>
      <w:r>
        <w:rPr>
          <w:rFonts w:ascii="宋体" w:hAnsi="宋体" w:cs="宋体"/>
          <w:szCs w:val="21"/>
          <w:lang w:val="zh-CN"/>
        </w:rPr>
        <w:t>万元，电梯</w:t>
      </w:r>
      <w:r>
        <w:rPr>
          <w:rFonts w:hint="eastAsia" w:ascii="宋体" w:hAnsi="宋体" w:cs="宋体"/>
          <w:szCs w:val="21"/>
          <w:lang w:val="zh-CN"/>
        </w:rPr>
        <w:t>××</w:t>
      </w:r>
      <w:r>
        <w:rPr>
          <w:rFonts w:ascii="宋体" w:hAnsi="宋体" w:cs="宋体"/>
          <w:szCs w:val="21"/>
          <w:lang w:val="zh-CN"/>
        </w:rPr>
        <w:t>万元，设计、监理和其他费用约</w:t>
      </w:r>
      <w:r>
        <w:rPr>
          <w:rFonts w:hint="eastAsia" w:ascii="宋体" w:hAnsi="宋体" w:cs="宋体"/>
          <w:szCs w:val="21"/>
          <w:lang w:val="zh-CN"/>
        </w:rPr>
        <w:t>××</w:t>
      </w:r>
      <w:r>
        <w:rPr>
          <w:rFonts w:ascii="宋体" w:hAnsi="宋体" w:cs="宋体"/>
          <w:szCs w:val="21"/>
          <w:lang w:val="zh-CN"/>
        </w:rPr>
        <w:t>万元。</w:t>
      </w:r>
    </w:p>
    <w:p>
      <w:pPr>
        <w:spacing w:line="400" w:lineRule="exact"/>
        <w:ind w:firstLine="420" w:firstLineChars="200"/>
        <w:rPr>
          <w:rFonts w:ascii="宋体" w:hAnsi="宋体" w:cs="宋体"/>
          <w:szCs w:val="21"/>
          <w:lang w:val="zh-CN"/>
        </w:rPr>
      </w:pPr>
      <w:r>
        <w:rPr>
          <w:rFonts w:ascii="宋体" w:hAnsi="宋体" w:cs="宋体"/>
          <w:szCs w:val="21"/>
          <w:lang w:val="zh-CN"/>
        </w:rPr>
        <w:t>截止</w:t>
      </w:r>
      <w:r>
        <w:rPr>
          <w:rFonts w:hint="eastAsia" w:ascii="宋体" w:hAnsi="宋体" w:cs="宋体"/>
          <w:szCs w:val="21"/>
          <w:lang w:val="zh-CN"/>
        </w:rPr>
        <w:t>××</w:t>
      </w:r>
      <w:r>
        <w:rPr>
          <w:rFonts w:ascii="宋体" w:hAnsi="宋体" w:cs="宋体"/>
          <w:szCs w:val="21"/>
          <w:lang w:val="zh-CN"/>
        </w:rPr>
        <w:t>年</w:t>
      </w:r>
      <w:r>
        <w:rPr>
          <w:rFonts w:hint="eastAsia" w:ascii="宋体" w:hAnsi="宋体" w:cs="宋体"/>
          <w:szCs w:val="21"/>
          <w:lang w:val="zh-CN"/>
        </w:rPr>
        <w:t>××</w:t>
      </w:r>
      <w:r>
        <w:rPr>
          <w:rFonts w:ascii="宋体" w:hAnsi="宋体" w:cs="宋体"/>
          <w:szCs w:val="21"/>
          <w:lang w:val="zh-CN"/>
        </w:rPr>
        <w:t>月形象进度：</w:t>
      </w:r>
      <w:r>
        <w:rPr>
          <w:rFonts w:hint="eastAsia" w:ascii="宋体" w:hAnsi="宋体" w:cs="宋体"/>
          <w:szCs w:val="21"/>
          <w:lang w:val="zh-CN"/>
        </w:rPr>
        <w:t>××</w:t>
      </w:r>
      <w:r>
        <w:rPr>
          <w:rFonts w:ascii="宋体" w:hAnsi="宋体" w:cs="宋体"/>
          <w:szCs w:val="21"/>
          <w:lang w:val="zh-CN"/>
        </w:rPr>
        <w:t>工程已完工，</w:t>
      </w:r>
      <w:r>
        <w:rPr>
          <w:rFonts w:hint="eastAsia" w:ascii="宋体" w:hAnsi="宋体" w:cs="宋体"/>
          <w:szCs w:val="21"/>
          <w:lang w:val="zh-CN"/>
        </w:rPr>
        <w:t>××</w:t>
      </w:r>
      <w:r>
        <w:rPr>
          <w:rFonts w:ascii="宋体" w:hAnsi="宋体" w:cs="宋体"/>
          <w:szCs w:val="21"/>
          <w:lang w:val="zh-CN"/>
        </w:rPr>
        <w:t>工程正在施工。</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（二）概算批复及调整情况</w:t>
      </w:r>
    </w:p>
    <w:p>
      <w:pPr>
        <w:spacing w:line="400" w:lineRule="exact"/>
        <w:ind w:firstLine="420" w:firstLineChars="200"/>
        <w:rPr>
          <w:rFonts w:hint="eastAsia" w:ascii="宋体" w:hAnsi="宋体" w:cs="宋体"/>
          <w:szCs w:val="21"/>
          <w:lang w:val="zh-CN"/>
        </w:rPr>
      </w:pPr>
      <w:r>
        <w:rPr>
          <w:rFonts w:hint="eastAsia" w:ascii="宋体" w:hAnsi="宋体" w:cs="宋体"/>
          <w:szCs w:val="21"/>
          <w:lang w:val="zh-CN"/>
        </w:rPr>
        <w:t>××</w:t>
      </w:r>
      <w:r>
        <w:rPr>
          <w:rFonts w:ascii="宋体" w:hAnsi="宋体" w:cs="宋体"/>
          <w:szCs w:val="21"/>
          <w:lang w:val="zh-CN"/>
        </w:rPr>
        <w:t>年</w:t>
      </w:r>
      <w:r>
        <w:rPr>
          <w:rFonts w:hint="eastAsia" w:ascii="宋体" w:hAnsi="宋体" w:cs="宋体"/>
          <w:szCs w:val="21"/>
          <w:lang w:val="zh-CN"/>
        </w:rPr>
        <w:t>××</w:t>
      </w:r>
      <w:r>
        <w:rPr>
          <w:rFonts w:ascii="宋体" w:hAnsi="宋体" w:cs="宋体"/>
          <w:szCs w:val="21"/>
          <w:lang w:val="zh-CN"/>
        </w:rPr>
        <w:t>月</w:t>
      </w:r>
      <w:r>
        <w:rPr>
          <w:rFonts w:hint="eastAsia" w:ascii="宋体" w:hAnsi="宋体" w:cs="宋体"/>
          <w:szCs w:val="21"/>
          <w:lang w:val="zh-CN"/>
        </w:rPr>
        <w:t>××</w:t>
      </w:r>
      <w:r>
        <w:rPr>
          <w:rFonts w:ascii="宋体" w:hAnsi="宋体" w:cs="宋体"/>
          <w:szCs w:val="21"/>
          <w:lang w:val="zh-CN"/>
        </w:rPr>
        <w:t>日</w:t>
      </w:r>
      <w:r>
        <w:rPr>
          <w:rFonts w:hint="eastAsia" w:ascii="宋体" w:hAnsi="宋体" w:cs="宋体"/>
          <w:szCs w:val="21"/>
          <w:lang w:val="zh-CN"/>
        </w:rPr>
        <w:t>（</w:t>
      </w:r>
      <w:r>
        <w:rPr>
          <w:rFonts w:hint="eastAsia" w:ascii="宋体" w:hAnsi="宋体" w:cs="宋体"/>
          <w:szCs w:val="21"/>
        </w:rPr>
        <w:t>政府</w:t>
      </w:r>
      <w:r>
        <w:rPr>
          <w:rFonts w:hint="eastAsia" w:ascii="宋体" w:hAnsi="宋体" w:cs="宋体"/>
          <w:szCs w:val="21"/>
          <w:lang w:val="zh-CN"/>
        </w:rPr>
        <w:t>投资</w:t>
      </w:r>
      <w:r>
        <w:rPr>
          <w:rFonts w:hint="eastAsia" w:ascii="宋体" w:hAnsi="宋体" w:cs="宋体"/>
          <w:szCs w:val="21"/>
        </w:rPr>
        <w:t>管理</w:t>
      </w:r>
      <w:r>
        <w:rPr>
          <w:rFonts w:hint="eastAsia" w:ascii="宋体" w:hAnsi="宋体" w:cs="宋体"/>
          <w:szCs w:val="21"/>
          <w:lang w:val="zh-CN"/>
        </w:rPr>
        <w:t>部门）已</w:t>
      </w:r>
      <w:r>
        <w:rPr>
          <w:rFonts w:ascii="宋体" w:hAnsi="宋体" w:cs="宋体"/>
          <w:szCs w:val="21"/>
          <w:lang w:val="zh-CN"/>
        </w:rPr>
        <w:t>对该建设项目初步设计进行了批复，据批复</w:t>
      </w:r>
      <w:r>
        <w:rPr>
          <w:rFonts w:hint="eastAsia" w:ascii="宋体" w:hAnsi="宋体" w:cs="宋体"/>
          <w:szCs w:val="21"/>
          <w:lang w:val="zh-CN"/>
        </w:rPr>
        <w:t>××</w:t>
      </w:r>
      <w:r>
        <w:rPr>
          <w:rFonts w:ascii="宋体" w:hAnsi="宋体" w:cs="宋体"/>
          <w:szCs w:val="21"/>
          <w:lang w:val="zh-CN"/>
        </w:rPr>
        <w:t>工程位于</w:t>
      </w:r>
      <w:r>
        <w:rPr>
          <w:rFonts w:hint="eastAsia" w:ascii="宋体" w:hAnsi="宋体" w:cs="宋体"/>
          <w:szCs w:val="21"/>
          <w:lang w:val="zh-CN"/>
        </w:rPr>
        <w:t>××</w:t>
      </w:r>
      <w:r>
        <w:rPr>
          <w:rFonts w:ascii="宋体" w:hAnsi="宋体" w:cs="宋体"/>
          <w:szCs w:val="21"/>
          <w:lang w:val="zh-CN"/>
        </w:rPr>
        <w:t>，地下</w:t>
      </w:r>
      <w:r>
        <w:rPr>
          <w:rFonts w:hint="eastAsia" w:ascii="宋体" w:hAnsi="宋体" w:cs="宋体"/>
          <w:szCs w:val="21"/>
          <w:lang w:val="zh-CN"/>
        </w:rPr>
        <w:t>××</w:t>
      </w:r>
      <w:r>
        <w:rPr>
          <w:rFonts w:ascii="宋体" w:hAnsi="宋体" w:cs="宋体"/>
          <w:szCs w:val="21"/>
          <w:lang w:val="zh-CN"/>
        </w:rPr>
        <w:t>层，地上</w:t>
      </w:r>
      <w:r>
        <w:rPr>
          <w:rFonts w:hint="eastAsia" w:ascii="宋体" w:hAnsi="宋体" w:cs="宋体"/>
          <w:szCs w:val="21"/>
          <w:lang w:val="zh-CN"/>
        </w:rPr>
        <w:t>××</w:t>
      </w:r>
      <w:r>
        <w:rPr>
          <w:rFonts w:ascii="宋体" w:hAnsi="宋体" w:cs="宋体"/>
          <w:szCs w:val="21"/>
          <w:lang w:val="zh-CN"/>
        </w:rPr>
        <w:t>层，建筑高度</w:t>
      </w:r>
      <w:r>
        <w:rPr>
          <w:rFonts w:hint="eastAsia" w:ascii="宋体" w:hAnsi="宋体" w:cs="宋体"/>
          <w:szCs w:val="21"/>
          <w:lang w:val="zh-CN"/>
        </w:rPr>
        <w:t>××</w:t>
      </w:r>
      <w:r>
        <w:rPr>
          <w:rFonts w:ascii="宋体" w:hAnsi="宋体" w:cs="宋体"/>
          <w:szCs w:val="21"/>
          <w:lang w:val="zh-CN"/>
        </w:rPr>
        <w:t>，建筑面积</w:t>
      </w:r>
      <w:r>
        <w:rPr>
          <w:rFonts w:hint="eastAsia" w:ascii="宋体" w:hAnsi="宋体" w:cs="宋体"/>
          <w:szCs w:val="21"/>
          <w:lang w:val="zh-CN"/>
        </w:rPr>
        <w:t>××</w:t>
      </w:r>
      <w:r>
        <w:rPr>
          <w:rFonts w:ascii="宋体" w:hAnsi="宋体" w:cs="宋体"/>
          <w:szCs w:val="21"/>
          <w:lang w:val="zh-CN"/>
        </w:rPr>
        <w:t>，结构形式</w:t>
      </w:r>
      <w:r>
        <w:rPr>
          <w:rFonts w:hint="eastAsia" w:ascii="宋体" w:hAnsi="宋体" w:cs="宋体"/>
          <w:szCs w:val="21"/>
          <w:lang w:val="zh-CN"/>
        </w:rPr>
        <w:t>××。</w:t>
      </w:r>
      <w:r>
        <w:rPr>
          <w:rFonts w:ascii="宋体" w:hAnsi="宋体" w:cs="宋体"/>
          <w:szCs w:val="21"/>
          <w:lang w:val="zh-CN"/>
        </w:rPr>
        <w:t>概算总投资为</w:t>
      </w:r>
      <w:r>
        <w:rPr>
          <w:rFonts w:hint="eastAsia" w:ascii="宋体" w:hAnsi="宋体" w:cs="宋体"/>
          <w:szCs w:val="21"/>
          <w:lang w:val="zh-CN"/>
        </w:rPr>
        <w:t>××</w:t>
      </w:r>
      <w:r>
        <w:rPr>
          <w:rFonts w:ascii="宋体" w:hAnsi="宋体" w:cs="宋体"/>
          <w:szCs w:val="21"/>
          <w:lang w:val="zh-CN"/>
        </w:rPr>
        <w:t>万元，其中；建安工程费用</w:t>
      </w:r>
      <w:r>
        <w:rPr>
          <w:rFonts w:hint="eastAsia" w:ascii="宋体" w:hAnsi="宋体" w:cs="宋体"/>
          <w:szCs w:val="21"/>
          <w:lang w:val="zh-CN"/>
        </w:rPr>
        <w:t>××</w:t>
      </w:r>
      <w:r>
        <w:rPr>
          <w:rFonts w:ascii="宋体" w:hAnsi="宋体" w:cs="宋体"/>
          <w:szCs w:val="21"/>
          <w:lang w:val="zh-CN"/>
        </w:rPr>
        <w:t>万元，设备费</w:t>
      </w:r>
      <w:r>
        <w:rPr>
          <w:rFonts w:hint="eastAsia" w:ascii="宋体" w:hAnsi="宋体" w:cs="宋体"/>
          <w:szCs w:val="21"/>
          <w:lang w:val="zh-CN"/>
        </w:rPr>
        <w:t>××</w:t>
      </w:r>
      <w:r>
        <w:rPr>
          <w:rFonts w:ascii="宋体" w:hAnsi="宋体" w:cs="宋体"/>
          <w:szCs w:val="21"/>
          <w:lang w:val="zh-CN"/>
        </w:rPr>
        <w:t>万元，其他费用</w:t>
      </w:r>
      <w:r>
        <w:rPr>
          <w:rFonts w:hint="eastAsia" w:ascii="宋体" w:hAnsi="宋体" w:cs="宋体"/>
          <w:szCs w:val="21"/>
          <w:lang w:val="zh-CN"/>
        </w:rPr>
        <w:t>××</w:t>
      </w:r>
      <w:r>
        <w:rPr>
          <w:rFonts w:ascii="宋体" w:hAnsi="宋体" w:cs="宋体"/>
          <w:szCs w:val="21"/>
          <w:lang w:val="zh-CN"/>
        </w:rPr>
        <w:t>万元，预备费</w:t>
      </w:r>
      <w:r>
        <w:rPr>
          <w:rFonts w:hint="eastAsia" w:ascii="宋体" w:hAnsi="宋体" w:cs="宋体"/>
          <w:szCs w:val="21"/>
          <w:lang w:val="zh-CN"/>
        </w:rPr>
        <w:t>××</w:t>
      </w:r>
      <w:r>
        <w:rPr>
          <w:rFonts w:ascii="宋体" w:hAnsi="宋体" w:cs="宋体"/>
          <w:szCs w:val="21"/>
          <w:lang w:val="zh-CN"/>
        </w:rPr>
        <w:t>万元</w:t>
      </w:r>
      <w:r>
        <w:rPr>
          <w:rFonts w:hint="eastAsia" w:ascii="宋体" w:hAnsi="宋体" w:cs="宋体"/>
          <w:szCs w:val="21"/>
          <w:lang w:val="zh-CN"/>
        </w:rPr>
        <w:t>。</w:t>
      </w:r>
    </w:p>
    <w:p>
      <w:pPr>
        <w:spacing w:line="400" w:lineRule="exact"/>
        <w:ind w:firstLine="420" w:firstLineChars="200"/>
        <w:rPr>
          <w:rFonts w:ascii="宋体" w:hAnsi="宋体" w:cs="宋体"/>
          <w:szCs w:val="21"/>
          <w:lang w:val="zh-CN"/>
        </w:rPr>
      </w:pPr>
      <w:r>
        <w:rPr>
          <w:rFonts w:ascii="宋体" w:hAnsi="宋体" w:cs="宋体"/>
          <w:szCs w:val="21"/>
          <w:lang w:val="zh-CN"/>
        </w:rPr>
        <w:t>本次申请调整概算总投资为</w:t>
      </w:r>
      <w:r>
        <w:rPr>
          <w:rFonts w:hint="eastAsia" w:ascii="宋体" w:hAnsi="宋体" w:cs="宋体"/>
          <w:szCs w:val="21"/>
          <w:lang w:val="zh-CN"/>
        </w:rPr>
        <w:t>××</w:t>
      </w:r>
      <w:r>
        <w:rPr>
          <w:rFonts w:ascii="宋体" w:hAnsi="宋体" w:cs="宋体"/>
          <w:szCs w:val="21"/>
          <w:lang w:val="zh-CN"/>
        </w:rPr>
        <w:t>万元，其中；建安工程费用</w:t>
      </w:r>
      <w:r>
        <w:rPr>
          <w:rFonts w:hint="eastAsia" w:ascii="宋体" w:hAnsi="宋体" w:cs="宋体"/>
          <w:szCs w:val="21"/>
          <w:lang w:val="zh-CN"/>
        </w:rPr>
        <w:t>××</w:t>
      </w:r>
      <w:r>
        <w:rPr>
          <w:rFonts w:ascii="宋体" w:hAnsi="宋体" w:cs="宋体"/>
          <w:szCs w:val="21"/>
          <w:lang w:val="zh-CN"/>
        </w:rPr>
        <w:t>万元，设备费</w:t>
      </w:r>
      <w:r>
        <w:rPr>
          <w:rFonts w:hint="eastAsia" w:ascii="宋体" w:hAnsi="宋体" w:cs="宋体"/>
          <w:szCs w:val="21"/>
          <w:lang w:val="zh-CN"/>
        </w:rPr>
        <w:t>××</w:t>
      </w:r>
      <w:r>
        <w:rPr>
          <w:rFonts w:ascii="宋体" w:hAnsi="宋体" w:cs="宋体"/>
          <w:szCs w:val="21"/>
          <w:lang w:val="zh-CN"/>
        </w:rPr>
        <w:t>万元，其他费用</w:t>
      </w:r>
      <w:r>
        <w:rPr>
          <w:rFonts w:hint="eastAsia" w:ascii="宋体" w:hAnsi="宋体" w:cs="宋体"/>
          <w:szCs w:val="21"/>
          <w:lang w:val="zh-CN"/>
        </w:rPr>
        <w:t>××</w:t>
      </w:r>
      <w:r>
        <w:rPr>
          <w:rFonts w:ascii="宋体" w:hAnsi="宋体" w:cs="宋体"/>
          <w:szCs w:val="21"/>
          <w:lang w:val="zh-CN"/>
        </w:rPr>
        <w:t>万元，预备费</w:t>
      </w:r>
      <w:r>
        <w:rPr>
          <w:rFonts w:hint="eastAsia" w:ascii="宋体" w:hAnsi="宋体" w:cs="宋体"/>
          <w:szCs w:val="21"/>
          <w:lang w:val="zh-CN"/>
        </w:rPr>
        <w:t>××</w:t>
      </w:r>
      <w:r>
        <w:rPr>
          <w:rFonts w:ascii="宋体" w:hAnsi="宋体" w:cs="宋体"/>
          <w:szCs w:val="21"/>
          <w:lang w:val="zh-CN"/>
        </w:rPr>
        <w:t>万元。</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（三）调概评</w:t>
      </w:r>
      <w:r>
        <w:rPr>
          <w:rFonts w:hint="eastAsia" w:ascii="黑体" w:hAnsi="黑体" w:eastAsia="黑体" w:cs="黑体"/>
          <w:szCs w:val="21"/>
          <w:lang w:val="zh-CN"/>
        </w:rPr>
        <w:t>估</w:t>
      </w:r>
      <w:r>
        <w:rPr>
          <w:rFonts w:ascii="黑体" w:hAnsi="黑体" w:eastAsia="黑体" w:cs="黑体"/>
          <w:szCs w:val="21"/>
          <w:lang w:val="zh-CN"/>
        </w:rPr>
        <w:t>结论</w:t>
      </w:r>
    </w:p>
    <w:p>
      <w:pPr>
        <w:spacing w:line="400" w:lineRule="exact"/>
        <w:ind w:firstLine="420" w:firstLineChars="200"/>
        <w:rPr>
          <w:rFonts w:ascii="宋体" w:hAnsi="宋体" w:cs="宋体"/>
          <w:szCs w:val="21"/>
          <w:lang w:val="zh-CN"/>
        </w:rPr>
      </w:pPr>
      <w:r>
        <w:rPr>
          <w:rFonts w:ascii="宋体" w:hAnsi="宋体" w:cs="宋体"/>
          <w:szCs w:val="21"/>
          <w:lang w:val="zh-CN"/>
        </w:rPr>
        <w:t>经评</w:t>
      </w:r>
      <w:r>
        <w:rPr>
          <w:rFonts w:hint="eastAsia" w:ascii="宋体" w:hAnsi="宋体" w:cs="宋体"/>
          <w:szCs w:val="21"/>
          <w:lang w:val="zh-CN"/>
        </w:rPr>
        <w:t>估</w:t>
      </w:r>
      <w:r>
        <w:rPr>
          <w:rFonts w:ascii="宋体" w:hAnsi="宋体" w:cs="宋体"/>
          <w:szCs w:val="21"/>
          <w:lang w:val="zh-CN"/>
        </w:rPr>
        <w:t>，本项目核定调整概算总投资为</w:t>
      </w:r>
      <w:r>
        <w:rPr>
          <w:rFonts w:hint="eastAsia" w:ascii="宋体" w:hAnsi="宋体" w:cs="宋体"/>
          <w:szCs w:val="21"/>
          <w:lang w:val="zh-CN"/>
        </w:rPr>
        <w:t>××</w:t>
      </w:r>
      <w:r>
        <w:rPr>
          <w:rFonts w:ascii="宋体" w:hAnsi="宋体" w:cs="宋体"/>
          <w:szCs w:val="21"/>
          <w:lang w:val="zh-CN"/>
        </w:rPr>
        <w:t>万元，其中：建安工程费</w:t>
      </w:r>
      <w:r>
        <w:rPr>
          <w:rFonts w:hint="eastAsia" w:ascii="宋体" w:hAnsi="宋体" w:cs="宋体"/>
          <w:szCs w:val="21"/>
          <w:lang w:val="zh-CN"/>
        </w:rPr>
        <w:t>××</w:t>
      </w:r>
      <w:r>
        <w:rPr>
          <w:rFonts w:ascii="宋体" w:hAnsi="宋体" w:cs="宋体"/>
          <w:szCs w:val="21"/>
          <w:lang w:val="zh-CN"/>
        </w:rPr>
        <w:t>万元，设备购置费</w:t>
      </w:r>
      <w:r>
        <w:rPr>
          <w:rFonts w:hint="eastAsia" w:ascii="宋体" w:hAnsi="宋体" w:cs="宋体"/>
          <w:szCs w:val="21"/>
          <w:lang w:val="zh-CN"/>
        </w:rPr>
        <w:t>××</w:t>
      </w:r>
      <w:r>
        <w:rPr>
          <w:rFonts w:ascii="宋体" w:hAnsi="宋体" w:cs="宋体"/>
          <w:szCs w:val="21"/>
          <w:lang w:val="zh-CN"/>
        </w:rPr>
        <w:t>万元，工程建设其他费用</w:t>
      </w:r>
      <w:r>
        <w:rPr>
          <w:rFonts w:hint="eastAsia" w:ascii="宋体" w:hAnsi="宋体" w:cs="宋体"/>
          <w:szCs w:val="21"/>
          <w:lang w:val="zh-CN"/>
        </w:rPr>
        <w:t>××</w:t>
      </w:r>
      <w:r>
        <w:rPr>
          <w:rFonts w:ascii="宋体" w:hAnsi="宋体" w:cs="宋体"/>
          <w:szCs w:val="21"/>
          <w:lang w:val="zh-CN"/>
        </w:rPr>
        <w:t>万元。比申请调整概算减少</w:t>
      </w:r>
      <w:r>
        <w:rPr>
          <w:rFonts w:hint="eastAsia" w:ascii="宋体" w:hAnsi="宋体" w:cs="宋体"/>
          <w:szCs w:val="21"/>
          <w:lang w:val="zh-CN"/>
        </w:rPr>
        <w:t>××</w:t>
      </w:r>
      <w:r>
        <w:rPr>
          <w:rFonts w:ascii="宋体" w:hAnsi="宋体" w:cs="宋体"/>
          <w:szCs w:val="21"/>
          <w:lang w:val="zh-CN"/>
        </w:rPr>
        <w:t>万元。</w:t>
      </w:r>
    </w:p>
    <w:p>
      <w:pPr>
        <w:spacing w:line="400" w:lineRule="exact"/>
        <w:ind w:firstLine="420" w:firstLineChars="200"/>
        <w:rPr>
          <w:rFonts w:hint="eastAsia" w:ascii="宋体" w:hAnsi="宋体" w:cs="宋体"/>
          <w:szCs w:val="21"/>
          <w:lang w:val="zh-CN"/>
        </w:rPr>
      </w:pPr>
      <w:r>
        <w:rPr>
          <w:rFonts w:ascii="宋体" w:hAnsi="宋体" w:cs="宋体"/>
          <w:szCs w:val="21"/>
          <w:lang w:val="zh-CN"/>
        </w:rPr>
        <w:t>与原批复概算投资</w:t>
      </w:r>
      <w:r>
        <w:rPr>
          <w:rFonts w:hint="eastAsia" w:ascii="宋体" w:hAnsi="宋体" w:cs="宋体"/>
          <w:szCs w:val="21"/>
          <w:lang w:val="zh-CN"/>
        </w:rPr>
        <w:t>××</w:t>
      </w:r>
      <w:r>
        <w:rPr>
          <w:rFonts w:ascii="宋体" w:hAnsi="宋体" w:cs="宋体"/>
          <w:szCs w:val="21"/>
          <w:lang w:val="zh-CN"/>
        </w:rPr>
        <w:t>万元相比，增加投资</w:t>
      </w:r>
      <w:r>
        <w:rPr>
          <w:rFonts w:hint="eastAsia" w:ascii="宋体" w:hAnsi="宋体" w:cs="宋体"/>
          <w:szCs w:val="21"/>
          <w:lang w:val="zh-CN"/>
        </w:rPr>
        <w:t>××</w:t>
      </w:r>
      <w:r>
        <w:rPr>
          <w:rFonts w:ascii="宋体" w:hAnsi="宋体" w:cs="宋体"/>
          <w:szCs w:val="21"/>
          <w:lang w:val="zh-CN"/>
        </w:rPr>
        <w:t>万元</w:t>
      </w:r>
      <w:r>
        <w:rPr>
          <w:rFonts w:hint="eastAsia" w:ascii="宋体" w:hAnsi="宋体" w:cs="宋体"/>
          <w:szCs w:val="21"/>
          <w:lang w:val="zh-CN"/>
        </w:rPr>
        <w:t>。</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二、评</w:t>
      </w:r>
      <w:r>
        <w:rPr>
          <w:rFonts w:hint="eastAsia" w:ascii="黑体" w:hAnsi="黑体" w:eastAsia="黑体" w:cs="黑体"/>
          <w:szCs w:val="21"/>
          <w:lang w:val="zh-CN"/>
        </w:rPr>
        <w:t>估</w:t>
      </w:r>
      <w:r>
        <w:rPr>
          <w:rFonts w:ascii="黑体" w:hAnsi="黑体" w:eastAsia="黑体" w:cs="黑体"/>
          <w:szCs w:val="21"/>
          <w:lang w:val="zh-CN"/>
        </w:rPr>
        <w:t>概况</w:t>
      </w:r>
    </w:p>
    <w:p>
      <w:pPr>
        <w:spacing w:line="400" w:lineRule="exact"/>
        <w:ind w:firstLine="420" w:firstLineChars="200"/>
        <w:rPr>
          <w:rFonts w:ascii="宋体" w:hAnsi="宋体" w:cs="宋体"/>
          <w:szCs w:val="21"/>
          <w:lang w:val="zh-CN"/>
        </w:rPr>
      </w:pPr>
      <w:r>
        <w:rPr>
          <w:rFonts w:ascii="宋体" w:hAnsi="宋体" w:cs="宋体"/>
          <w:szCs w:val="21"/>
          <w:lang w:val="zh-CN"/>
        </w:rPr>
        <w:t>说明项目调整概算评</w:t>
      </w:r>
      <w:r>
        <w:rPr>
          <w:rFonts w:hint="eastAsia" w:ascii="宋体" w:hAnsi="宋体" w:cs="宋体"/>
          <w:szCs w:val="21"/>
          <w:lang w:val="zh-CN"/>
        </w:rPr>
        <w:t>估</w:t>
      </w:r>
      <w:r>
        <w:rPr>
          <w:rFonts w:ascii="宋体" w:hAnsi="宋体" w:cs="宋体"/>
          <w:szCs w:val="21"/>
          <w:lang w:val="zh-CN"/>
        </w:rPr>
        <w:t>的全部流程，说明评</w:t>
      </w:r>
      <w:r>
        <w:rPr>
          <w:rFonts w:hint="eastAsia" w:ascii="宋体" w:hAnsi="宋体" w:cs="宋体"/>
          <w:szCs w:val="21"/>
          <w:lang w:val="zh-CN"/>
        </w:rPr>
        <w:t>估</w:t>
      </w:r>
      <w:r>
        <w:rPr>
          <w:rFonts w:ascii="宋体" w:hAnsi="宋体" w:cs="宋体"/>
          <w:szCs w:val="21"/>
          <w:lang w:val="zh-CN"/>
        </w:rPr>
        <w:t>过程中的关键时间节点、主要评</w:t>
      </w:r>
      <w:r>
        <w:rPr>
          <w:rFonts w:hint="eastAsia" w:ascii="宋体" w:hAnsi="宋体" w:cs="宋体"/>
          <w:szCs w:val="21"/>
          <w:lang w:val="zh-CN"/>
        </w:rPr>
        <w:t>估</w:t>
      </w:r>
      <w:r>
        <w:rPr>
          <w:rFonts w:ascii="宋体" w:hAnsi="宋体" w:cs="宋体"/>
          <w:szCs w:val="21"/>
          <w:lang w:val="zh-CN"/>
        </w:rPr>
        <w:t>活动和重点工作内容。</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三、评</w:t>
      </w:r>
      <w:r>
        <w:rPr>
          <w:rFonts w:hint="eastAsia" w:ascii="黑体" w:hAnsi="黑体" w:eastAsia="黑体" w:cs="黑体"/>
          <w:szCs w:val="21"/>
          <w:lang w:val="zh-CN"/>
        </w:rPr>
        <w:t>估</w:t>
      </w:r>
      <w:r>
        <w:rPr>
          <w:rFonts w:ascii="黑体" w:hAnsi="黑体" w:eastAsia="黑体" w:cs="黑体"/>
          <w:szCs w:val="21"/>
          <w:lang w:val="zh-CN"/>
        </w:rPr>
        <w:t>依据及原则</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（一）评</w:t>
      </w:r>
      <w:r>
        <w:rPr>
          <w:rFonts w:hint="eastAsia" w:ascii="黑体" w:hAnsi="黑体" w:eastAsia="黑体" w:cs="黑体"/>
          <w:szCs w:val="21"/>
          <w:lang w:val="zh-CN"/>
        </w:rPr>
        <w:t>估</w:t>
      </w:r>
      <w:r>
        <w:rPr>
          <w:rFonts w:ascii="黑体" w:hAnsi="黑体" w:eastAsia="黑体" w:cs="黑体"/>
          <w:szCs w:val="21"/>
          <w:lang w:val="zh-CN"/>
        </w:rPr>
        <w:t>依据</w:t>
      </w:r>
    </w:p>
    <w:p>
      <w:pPr>
        <w:spacing w:line="400" w:lineRule="exact"/>
        <w:ind w:firstLine="420" w:firstLineChars="200"/>
        <w:rPr>
          <w:rFonts w:ascii="宋体" w:hAnsi="宋体" w:cs="宋体"/>
          <w:szCs w:val="21"/>
          <w:lang w:val="zh-CN"/>
        </w:rPr>
      </w:pPr>
      <w:r>
        <w:rPr>
          <w:rFonts w:ascii="宋体" w:hAnsi="宋体" w:cs="宋体"/>
          <w:szCs w:val="21"/>
          <w:lang w:val="zh-CN"/>
        </w:rPr>
        <w:t>分类列举主要评</w:t>
      </w:r>
      <w:r>
        <w:rPr>
          <w:rFonts w:hint="eastAsia" w:ascii="宋体" w:hAnsi="宋体" w:cs="宋体"/>
          <w:szCs w:val="21"/>
          <w:lang w:val="zh-CN"/>
        </w:rPr>
        <w:t>估</w:t>
      </w:r>
      <w:r>
        <w:rPr>
          <w:rFonts w:ascii="宋体" w:hAnsi="宋体" w:cs="宋体"/>
          <w:szCs w:val="21"/>
          <w:lang w:val="zh-CN"/>
        </w:rPr>
        <w:t>依据。评</w:t>
      </w:r>
      <w:r>
        <w:rPr>
          <w:rFonts w:hint="eastAsia" w:ascii="宋体" w:hAnsi="宋体" w:cs="宋体"/>
          <w:szCs w:val="21"/>
          <w:lang w:val="zh-CN"/>
        </w:rPr>
        <w:t>估</w:t>
      </w:r>
      <w:r>
        <w:rPr>
          <w:rFonts w:ascii="宋体" w:hAnsi="宋体" w:cs="宋体"/>
          <w:szCs w:val="21"/>
          <w:lang w:val="zh-CN"/>
        </w:rPr>
        <w:t>工作主要依据为：</w:t>
      </w:r>
    </w:p>
    <w:p>
      <w:pPr>
        <w:spacing w:line="400" w:lineRule="exact"/>
        <w:ind w:firstLine="420" w:firstLineChars="200"/>
        <w:rPr>
          <w:rFonts w:ascii="宋体" w:hAnsi="宋体" w:cs="宋体"/>
          <w:szCs w:val="21"/>
          <w:lang w:val="zh-CN"/>
        </w:rPr>
      </w:pPr>
      <w:r>
        <w:rPr>
          <w:rFonts w:ascii="宋体" w:hAnsi="宋体" w:cs="宋体"/>
          <w:szCs w:val="21"/>
          <w:lang w:val="zh-CN"/>
        </w:rPr>
        <w:t>1</w:t>
      </w:r>
      <w:r>
        <w:rPr>
          <w:rFonts w:hint="eastAsia" w:ascii="宋体" w:hAnsi="宋体" w:cs="宋体"/>
          <w:szCs w:val="21"/>
          <w:lang w:val="zh-CN"/>
        </w:rPr>
        <w:t>.</w:t>
      </w:r>
      <w:r>
        <w:rPr>
          <w:rFonts w:ascii="宋体" w:hAnsi="宋体" w:cs="宋体"/>
          <w:szCs w:val="21"/>
          <w:lang w:val="zh-CN"/>
        </w:rPr>
        <w:t>原初步设计批复文件及概算书；</w:t>
      </w:r>
    </w:p>
    <w:p>
      <w:pPr>
        <w:spacing w:line="400" w:lineRule="exact"/>
        <w:ind w:firstLine="420" w:firstLineChars="200"/>
        <w:rPr>
          <w:rFonts w:ascii="宋体" w:hAnsi="宋体" w:cs="宋体"/>
          <w:szCs w:val="21"/>
          <w:lang w:val="zh-CN"/>
        </w:rPr>
      </w:pPr>
      <w:r>
        <w:rPr>
          <w:rFonts w:ascii="宋体" w:hAnsi="宋体" w:cs="宋体"/>
          <w:szCs w:val="21"/>
          <w:lang w:val="zh-CN"/>
        </w:rPr>
        <w:t>2</w:t>
      </w:r>
      <w:r>
        <w:rPr>
          <w:rFonts w:hint="eastAsia" w:ascii="宋体" w:hAnsi="宋体" w:cs="宋体"/>
          <w:szCs w:val="21"/>
          <w:lang w:val="zh-CN"/>
        </w:rPr>
        <w:t>.</w:t>
      </w:r>
      <w:r>
        <w:rPr>
          <w:rFonts w:ascii="宋体" w:hAnsi="宋体" w:cs="宋体"/>
          <w:szCs w:val="21"/>
          <w:lang w:val="zh-CN"/>
        </w:rPr>
        <w:t>陕西省建设工程其他费用定额（文件）及相关行业费用定额（文件）；</w:t>
      </w:r>
    </w:p>
    <w:p>
      <w:pPr>
        <w:spacing w:line="400" w:lineRule="exact"/>
        <w:ind w:firstLine="420" w:firstLineChars="200"/>
        <w:rPr>
          <w:rFonts w:ascii="宋体" w:hAnsi="宋体" w:cs="宋体"/>
          <w:szCs w:val="21"/>
          <w:lang w:val="zh-CN"/>
        </w:rPr>
      </w:pPr>
      <w:r>
        <w:rPr>
          <w:rFonts w:ascii="宋体" w:hAnsi="宋体" w:cs="宋体"/>
          <w:szCs w:val="21"/>
          <w:lang w:val="zh-CN"/>
        </w:rPr>
        <w:t>3</w:t>
      </w:r>
      <w:r>
        <w:rPr>
          <w:rFonts w:hint="eastAsia" w:ascii="宋体" w:hAnsi="宋体" w:cs="宋体"/>
          <w:szCs w:val="21"/>
          <w:lang w:val="zh-CN"/>
        </w:rPr>
        <w:t>.</w:t>
      </w:r>
      <w:r>
        <w:rPr>
          <w:rFonts w:ascii="宋体" w:hAnsi="宋体" w:cs="宋体"/>
          <w:szCs w:val="21"/>
          <w:lang w:val="zh-CN"/>
        </w:rPr>
        <w:t>现行定额与计价规则及配套费用定额（文件）；</w:t>
      </w:r>
    </w:p>
    <w:p>
      <w:pPr>
        <w:spacing w:line="400" w:lineRule="exact"/>
        <w:ind w:firstLine="420" w:firstLineChars="200"/>
        <w:rPr>
          <w:rFonts w:ascii="宋体" w:hAnsi="宋体" w:cs="宋体"/>
          <w:szCs w:val="21"/>
          <w:lang w:val="zh-CN"/>
        </w:rPr>
      </w:pPr>
      <w:r>
        <w:rPr>
          <w:rFonts w:ascii="宋体" w:hAnsi="宋体" w:cs="宋体"/>
          <w:szCs w:val="21"/>
          <w:lang w:val="zh-CN"/>
        </w:rPr>
        <w:t>4</w:t>
      </w:r>
      <w:r>
        <w:rPr>
          <w:rFonts w:hint="eastAsia" w:ascii="宋体" w:hAnsi="宋体" w:cs="宋体"/>
          <w:szCs w:val="21"/>
          <w:lang w:val="zh-CN"/>
        </w:rPr>
        <w:t>.</w:t>
      </w:r>
      <w:r>
        <w:rPr>
          <w:rFonts w:ascii="宋体" w:hAnsi="宋体" w:cs="宋体"/>
          <w:szCs w:val="21"/>
          <w:lang w:val="zh-CN"/>
        </w:rPr>
        <w:t>政府发布的调价文件；</w:t>
      </w:r>
    </w:p>
    <w:p>
      <w:pPr>
        <w:spacing w:line="400" w:lineRule="exact"/>
        <w:ind w:firstLine="420" w:firstLineChars="200"/>
        <w:rPr>
          <w:rFonts w:ascii="宋体" w:hAnsi="宋体" w:cs="宋体"/>
          <w:szCs w:val="21"/>
          <w:lang w:val="zh-CN"/>
        </w:rPr>
      </w:pPr>
      <w:r>
        <w:rPr>
          <w:rFonts w:ascii="宋体" w:hAnsi="宋体" w:cs="宋体"/>
          <w:szCs w:val="21"/>
          <w:lang w:val="zh-CN"/>
        </w:rPr>
        <w:t>5</w:t>
      </w:r>
      <w:r>
        <w:rPr>
          <w:rFonts w:hint="eastAsia" w:ascii="宋体" w:hAnsi="宋体" w:cs="宋体"/>
          <w:szCs w:val="21"/>
          <w:lang w:val="zh-CN"/>
        </w:rPr>
        <w:t>.</w:t>
      </w:r>
      <w:r>
        <w:rPr>
          <w:rFonts w:ascii="宋体" w:hAnsi="宋体" w:cs="宋体"/>
          <w:szCs w:val="21"/>
          <w:lang w:val="zh-CN"/>
        </w:rPr>
        <w:t>人材机市场价；</w:t>
      </w:r>
    </w:p>
    <w:p>
      <w:pPr>
        <w:spacing w:line="400" w:lineRule="exact"/>
        <w:ind w:firstLine="420" w:firstLineChars="200"/>
        <w:rPr>
          <w:rFonts w:ascii="宋体" w:hAnsi="宋体" w:cs="宋体"/>
          <w:szCs w:val="21"/>
          <w:lang w:val="zh-CN"/>
        </w:rPr>
      </w:pPr>
      <w:r>
        <w:rPr>
          <w:rFonts w:ascii="宋体" w:hAnsi="宋体" w:cs="宋体"/>
          <w:szCs w:val="21"/>
          <w:lang w:val="zh-CN"/>
        </w:rPr>
        <w:t>6.施工图纸；</w:t>
      </w:r>
    </w:p>
    <w:p>
      <w:pPr>
        <w:spacing w:line="400" w:lineRule="exact"/>
        <w:ind w:firstLine="420" w:firstLineChars="200"/>
        <w:rPr>
          <w:rFonts w:ascii="宋体" w:hAnsi="宋体" w:cs="宋体"/>
          <w:szCs w:val="21"/>
          <w:lang w:val="zh-CN"/>
        </w:rPr>
      </w:pPr>
      <w:r>
        <w:rPr>
          <w:rFonts w:ascii="宋体" w:hAnsi="宋体" w:cs="宋体"/>
          <w:szCs w:val="21"/>
          <w:lang w:val="zh-CN"/>
        </w:rPr>
        <w:t>7</w:t>
      </w:r>
      <w:r>
        <w:rPr>
          <w:rFonts w:hint="eastAsia" w:ascii="宋体" w:hAnsi="宋体" w:cs="宋体"/>
          <w:szCs w:val="21"/>
          <w:lang w:val="zh-CN"/>
        </w:rPr>
        <w:t>.</w:t>
      </w:r>
      <w:r>
        <w:rPr>
          <w:rFonts w:ascii="宋体" w:hAnsi="宋体" w:cs="宋体"/>
          <w:szCs w:val="21"/>
          <w:lang w:val="zh-CN"/>
        </w:rPr>
        <w:t>招投标文件、施工合同、采购合同、工程预（结）算、变更、签证等资料。</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（二）评</w:t>
      </w:r>
      <w:r>
        <w:rPr>
          <w:rFonts w:hint="eastAsia" w:ascii="黑体" w:hAnsi="黑体" w:eastAsia="黑体" w:cs="黑体"/>
          <w:szCs w:val="21"/>
          <w:lang w:val="zh-CN"/>
        </w:rPr>
        <w:t>估</w:t>
      </w:r>
      <w:r>
        <w:rPr>
          <w:rFonts w:ascii="黑体" w:hAnsi="黑体" w:eastAsia="黑体" w:cs="黑体"/>
          <w:szCs w:val="21"/>
          <w:lang w:val="zh-CN"/>
        </w:rPr>
        <w:t>原则</w:t>
      </w:r>
    </w:p>
    <w:p>
      <w:pPr>
        <w:spacing w:line="400" w:lineRule="exact"/>
        <w:ind w:firstLine="420" w:firstLineChars="200"/>
        <w:rPr>
          <w:rFonts w:ascii="宋体" w:hAnsi="宋体" w:cs="宋体"/>
          <w:szCs w:val="21"/>
          <w:lang w:val="zh-CN"/>
        </w:rPr>
      </w:pPr>
      <w:r>
        <w:rPr>
          <w:rFonts w:ascii="宋体" w:hAnsi="宋体" w:cs="宋体"/>
          <w:szCs w:val="21"/>
          <w:lang w:val="zh-CN"/>
        </w:rPr>
        <w:t>根据本项目实际，确定评</w:t>
      </w:r>
      <w:r>
        <w:rPr>
          <w:rFonts w:hint="eastAsia" w:ascii="宋体" w:hAnsi="宋体" w:cs="宋体"/>
          <w:szCs w:val="21"/>
          <w:lang w:val="zh-CN"/>
        </w:rPr>
        <w:t>估</w:t>
      </w:r>
      <w:r>
        <w:rPr>
          <w:rFonts w:ascii="宋体" w:hAnsi="宋体" w:cs="宋体"/>
          <w:szCs w:val="21"/>
          <w:lang w:val="zh-CN"/>
        </w:rPr>
        <w:t>原则如下：</w:t>
      </w:r>
    </w:p>
    <w:p>
      <w:pPr>
        <w:spacing w:line="400" w:lineRule="exact"/>
        <w:ind w:firstLine="420" w:firstLineChars="200"/>
        <w:rPr>
          <w:rFonts w:ascii="宋体" w:hAnsi="宋体" w:cs="宋体"/>
          <w:szCs w:val="21"/>
          <w:lang w:val="zh-CN"/>
        </w:rPr>
      </w:pPr>
      <w:r>
        <w:rPr>
          <w:rFonts w:ascii="宋体" w:hAnsi="宋体" w:cs="宋体"/>
          <w:szCs w:val="21"/>
          <w:lang w:val="zh-CN"/>
        </w:rPr>
        <w:t>1</w:t>
      </w:r>
      <w:r>
        <w:rPr>
          <w:rFonts w:hint="eastAsia" w:ascii="宋体" w:hAnsi="宋体" w:cs="宋体"/>
          <w:szCs w:val="21"/>
          <w:lang w:val="zh-CN"/>
        </w:rPr>
        <w:t>.</w:t>
      </w:r>
      <w:r>
        <w:rPr>
          <w:rFonts w:ascii="宋体" w:hAnsi="宋体" w:cs="宋体"/>
          <w:szCs w:val="21"/>
          <w:lang w:val="zh-CN"/>
        </w:rPr>
        <w:t>本次调概时间划分为：</w:t>
      </w:r>
      <w:r>
        <w:rPr>
          <w:rFonts w:hint="eastAsia" w:ascii="宋体" w:hAnsi="宋体" w:cs="宋体"/>
          <w:szCs w:val="21"/>
          <w:lang w:val="zh-CN"/>
        </w:rPr>
        <w:t>××</w:t>
      </w:r>
      <w:r>
        <w:rPr>
          <w:rFonts w:ascii="宋体" w:hAnsi="宋体" w:cs="宋体"/>
          <w:szCs w:val="21"/>
          <w:lang w:val="zh-CN"/>
        </w:rPr>
        <w:t>年</w:t>
      </w:r>
      <w:r>
        <w:rPr>
          <w:rFonts w:hint="eastAsia" w:ascii="宋体" w:hAnsi="宋体" w:cs="宋体"/>
          <w:szCs w:val="21"/>
          <w:lang w:val="zh-CN"/>
        </w:rPr>
        <w:t>××</w:t>
      </w:r>
      <w:r>
        <w:rPr>
          <w:rFonts w:ascii="宋体" w:hAnsi="宋体" w:cs="宋体"/>
          <w:szCs w:val="21"/>
          <w:lang w:val="zh-CN"/>
        </w:rPr>
        <w:t>月</w:t>
      </w:r>
      <w:r>
        <w:rPr>
          <w:rFonts w:hint="eastAsia" w:ascii="宋体" w:hAnsi="宋体" w:cs="宋体"/>
          <w:szCs w:val="21"/>
          <w:lang w:val="zh-CN"/>
        </w:rPr>
        <w:t>××</w:t>
      </w:r>
      <w:r>
        <w:rPr>
          <w:rFonts w:ascii="宋体" w:hAnsi="宋体" w:cs="宋体"/>
          <w:szCs w:val="21"/>
          <w:lang w:val="zh-CN"/>
        </w:rPr>
        <w:t>日前实施的为已完工程，</w:t>
      </w:r>
      <w:r>
        <w:rPr>
          <w:rFonts w:hint="eastAsia" w:ascii="宋体" w:hAnsi="宋体" w:cs="宋体"/>
          <w:szCs w:val="21"/>
          <w:lang w:val="zh-CN"/>
        </w:rPr>
        <w:t>××</w:t>
      </w:r>
      <w:r>
        <w:rPr>
          <w:rFonts w:ascii="宋体" w:hAnsi="宋体" w:cs="宋体"/>
          <w:szCs w:val="21"/>
          <w:lang w:val="zh-CN"/>
        </w:rPr>
        <w:t>年</w:t>
      </w:r>
      <w:r>
        <w:rPr>
          <w:rFonts w:hint="eastAsia" w:ascii="宋体" w:hAnsi="宋体" w:cs="宋体"/>
          <w:szCs w:val="21"/>
          <w:lang w:val="zh-CN"/>
        </w:rPr>
        <w:t>××</w:t>
      </w:r>
      <w:r>
        <w:rPr>
          <w:rFonts w:ascii="宋体" w:hAnsi="宋体" w:cs="宋体"/>
          <w:szCs w:val="21"/>
          <w:lang w:val="zh-CN"/>
        </w:rPr>
        <w:t>月</w:t>
      </w:r>
      <w:r>
        <w:rPr>
          <w:rFonts w:hint="eastAsia" w:ascii="宋体" w:hAnsi="宋体" w:cs="宋体"/>
          <w:szCs w:val="21"/>
          <w:lang w:val="zh-CN"/>
        </w:rPr>
        <w:t>××</w:t>
      </w:r>
      <w:r>
        <w:rPr>
          <w:rFonts w:ascii="宋体" w:hAnsi="宋体" w:cs="宋体"/>
          <w:szCs w:val="21"/>
          <w:lang w:val="zh-CN"/>
        </w:rPr>
        <w:t>日以后未实施的为未完工程；</w:t>
      </w:r>
    </w:p>
    <w:p>
      <w:pPr>
        <w:spacing w:line="400" w:lineRule="exact"/>
        <w:ind w:firstLine="420" w:firstLineChars="200"/>
        <w:rPr>
          <w:rFonts w:ascii="宋体" w:hAnsi="宋体" w:cs="宋体"/>
          <w:szCs w:val="21"/>
          <w:lang w:val="zh-CN"/>
        </w:rPr>
      </w:pPr>
      <w:r>
        <w:rPr>
          <w:rFonts w:ascii="宋体" w:hAnsi="宋体" w:cs="宋体"/>
          <w:szCs w:val="21"/>
          <w:lang w:val="zh-CN"/>
        </w:rPr>
        <w:t>2</w:t>
      </w:r>
      <w:r>
        <w:rPr>
          <w:rFonts w:hint="eastAsia" w:ascii="宋体" w:hAnsi="宋体" w:cs="宋体"/>
          <w:szCs w:val="21"/>
          <w:lang w:val="zh-CN"/>
        </w:rPr>
        <w:t>.</w:t>
      </w:r>
      <w:r>
        <w:rPr>
          <w:rFonts w:ascii="宋体" w:hAnsi="宋体" w:cs="宋体"/>
          <w:szCs w:val="21"/>
          <w:lang w:val="zh-CN"/>
        </w:rPr>
        <w:t>已完工程量按实际完成并经</w:t>
      </w:r>
      <w:r>
        <w:rPr>
          <w:rFonts w:hint="eastAsia" w:ascii="宋体" w:hAnsi="宋体" w:cs="宋体"/>
          <w:szCs w:val="21"/>
          <w:lang w:val="zh-CN"/>
        </w:rPr>
        <w:t>××</w:t>
      </w:r>
      <w:r>
        <w:rPr>
          <w:rFonts w:ascii="宋体" w:hAnsi="宋体" w:cs="宋体"/>
          <w:szCs w:val="21"/>
          <w:lang w:val="zh-CN"/>
        </w:rPr>
        <w:t>方、</w:t>
      </w:r>
      <w:r>
        <w:rPr>
          <w:rFonts w:hint="eastAsia" w:ascii="宋体" w:hAnsi="宋体" w:cs="宋体"/>
          <w:szCs w:val="21"/>
          <w:lang w:val="zh-CN"/>
        </w:rPr>
        <w:t>××</w:t>
      </w:r>
      <w:r>
        <w:rPr>
          <w:rFonts w:ascii="宋体" w:hAnsi="宋体" w:cs="宋体"/>
          <w:szCs w:val="21"/>
          <w:lang w:val="zh-CN"/>
        </w:rPr>
        <w:t>方确认的工程量计，单价采用合同价或施工过程中甲乙双方确定的补充单价；</w:t>
      </w:r>
    </w:p>
    <w:p>
      <w:pPr>
        <w:spacing w:line="400" w:lineRule="exact"/>
        <w:ind w:firstLine="420" w:firstLineChars="200"/>
        <w:rPr>
          <w:rFonts w:ascii="宋体" w:hAnsi="宋体" w:cs="宋体"/>
          <w:szCs w:val="21"/>
          <w:lang w:val="zh-CN"/>
        </w:rPr>
      </w:pPr>
      <w:r>
        <w:rPr>
          <w:rFonts w:ascii="宋体" w:hAnsi="宋体" w:cs="宋体"/>
          <w:szCs w:val="21"/>
          <w:lang w:val="zh-CN"/>
        </w:rPr>
        <w:t>3</w:t>
      </w:r>
      <w:r>
        <w:rPr>
          <w:rFonts w:hint="eastAsia" w:ascii="宋体" w:hAnsi="宋体" w:cs="宋体"/>
          <w:szCs w:val="21"/>
          <w:lang w:val="zh-CN"/>
        </w:rPr>
        <w:t>.</w:t>
      </w:r>
      <w:r>
        <w:rPr>
          <w:rFonts w:ascii="宋体" w:hAnsi="宋体" w:cs="宋体"/>
          <w:szCs w:val="21"/>
          <w:lang w:val="zh-CN"/>
        </w:rPr>
        <w:t>未完工程工程量按批复的设计文件“工程量”确定；单价按照</w:t>
      </w:r>
      <w:r>
        <w:rPr>
          <w:rFonts w:hint="eastAsia" w:ascii="宋体" w:hAnsi="宋体" w:cs="宋体"/>
          <w:szCs w:val="21"/>
          <w:lang w:val="zh-CN"/>
        </w:rPr>
        <w:t>“××</w:t>
      </w:r>
      <w:r>
        <w:rPr>
          <w:rFonts w:ascii="宋体" w:hAnsi="宋体" w:cs="宋体"/>
          <w:szCs w:val="21"/>
          <w:lang w:val="zh-CN"/>
        </w:rPr>
        <w:t>”系列计价依据、</w:t>
      </w:r>
      <w:r>
        <w:rPr>
          <w:rFonts w:hint="eastAsia" w:ascii="宋体" w:hAnsi="宋体" w:cs="宋体"/>
          <w:szCs w:val="21"/>
          <w:lang w:val="zh-CN"/>
        </w:rPr>
        <w:t>××</w:t>
      </w:r>
      <w:r>
        <w:rPr>
          <w:rFonts w:ascii="宋体" w:hAnsi="宋体" w:cs="宋体"/>
          <w:szCs w:val="21"/>
          <w:lang w:val="zh-CN"/>
        </w:rPr>
        <w:t>调整意见及其“营改增”计价依据调整办法、并参照投标文件中的有关取费标准进行复核和计算；</w:t>
      </w:r>
    </w:p>
    <w:p>
      <w:pPr>
        <w:spacing w:line="400" w:lineRule="exact"/>
        <w:ind w:firstLine="420" w:firstLineChars="200"/>
        <w:rPr>
          <w:rFonts w:ascii="宋体" w:hAnsi="宋体" w:cs="宋体"/>
          <w:szCs w:val="21"/>
          <w:lang w:val="zh-CN"/>
        </w:rPr>
      </w:pPr>
      <w:r>
        <w:rPr>
          <w:rFonts w:ascii="宋体" w:hAnsi="宋体" w:cs="宋体"/>
          <w:szCs w:val="21"/>
          <w:lang w:val="zh-CN"/>
        </w:rPr>
        <w:t>4</w:t>
      </w:r>
      <w:r>
        <w:rPr>
          <w:rFonts w:hint="eastAsia" w:ascii="宋体" w:hAnsi="宋体" w:cs="宋体"/>
          <w:szCs w:val="21"/>
          <w:lang w:val="zh-CN"/>
        </w:rPr>
        <w:t>.</w:t>
      </w:r>
      <w:r>
        <w:rPr>
          <w:rFonts w:ascii="宋体" w:hAnsi="宋体" w:cs="宋体"/>
          <w:szCs w:val="21"/>
          <w:lang w:val="zh-CN"/>
        </w:rPr>
        <w:t>勘察设计费、施工监理费、科研试验费、招投代理费等其他费用均以合同费用为基础，建设单位管理费以财务决算报告为准，按照实际情况酌情增加；</w:t>
      </w:r>
    </w:p>
    <w:p>
      <w:pPr>
        <w:spacing w:line="400" w:lineRule="exact"/>
        <w:ind w:firstLine="420" w:firstLineChars="200"/>
        <w:rPr>
          <w:rFonts w:ascii="宋体" w:hAnsi="宋体" w:cs="宋体"/>
          <w:szCs w:val="21"/>
          <w:lang w:val="zh-CN"/>
        </w:rPr>
      </w:pPr>
      <w:r>
        <w:rPr>
          <w:rFonts w:ascii="宋体" w:hAnsi="宋体" w:cs="宋体"/>
          <w:szCs w:val="21"/>
          <w:lang w:val="zh-CN"/>
        </w:rPr>
        <w:t>5</w:t>
      </w:r>
      <w:r>
        <w:rPr>
          <w:rFonts w:hint="eastAsia" w:ascii="宋体" w:hAnsi="宋体" w:cs="宋体"/>
          <w:szCs w:val="21"/>
          <w:lang w:val="zh-CN"/>
        </w:rPr>
        <w:t>.</w:t>
      </w:r>
      <w:r>
        <w:rPr>
          <w:rFonts w:ascii="宋体" w:hAnsi="宋体" w:cs="宋体"/>
          <w:szCs w:val="21"/>
          <w:lang w:val="zh-CN"/>
        </w:rPr>
        <w:t>临时工程按“合同价”计列；</w:t>
      </w:r>
    </w:p>
    <w:p>
      <w:pPr>
        <w:spacing w:line="400" w:lineRule="exact"/>
        <w:ind w:firstLine="420" w:firstLineChars="200"/>
        <w:rPr>
          <w:rFonts w:ascii="宋体" w:hAnsi="宋体" w:cs="宋体"/>
          <w:szCs w:val="21"/>
          <w:lang w:val="zh-CN"/>
        </w:rPr>
      </w:pPr>
      <w:r>
        <w:rPr>
          <w:rFonts w:ascii="宋体" w:hAnsi="宋体" w:cs="宋体"/>
          <w:szCs w:val="21"/>
          <w:lang w:val="zh-CN"/>
        </w:rPr>
        <w:t>6</w:t>
      </w:r>
      <w:r>
        <w:rPr>
          <w:rFonts w:hint="eastAsia" w:ascii="宋体" w:hAnsi="宋体" w:cs="宋体"/>
          <w:szCs w:val="21"/>
          <w:lang w:val="zh-CN"/>
        </w:rPr>
        <w:t>.</w:t>
      </w:r>
      <w:r>
        <w:rPr>
          <w:rFonts w:ascii="宋体" w:hAnsi="宋体" w:cs="宋体"/>
          <w:szCs w:val="21"/>
          <w:lang w:val="zh-CN"/>
        </w:rPr>
        <w:t>已完成工程项目按审计认定的结算成果计列。</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四、调概必要性评</w:t>
      </w:r>
      <w:r>
        <w:rPr>
          <w:rFonts w:hint="eastAsia" w:ascii="黑体" w:hAnsi="黑体" w:eastAsia="黑体" w:cs="黑体"/>
          <w:szCs w:val="21"/>
          <w:lang w:val="zh-CN"/>
        </w:rPr>
        <w:t>估</w:t>
      </w:r>
    </w:p>
    <w:p>
      <w:pPr>
        <w:spacing w:line="400" w:lineRule="exact"/>
        <w:ind w:firstLine="420" w:firstLineChars="200"/>
        <w:rPr>
          <w:rFonts w:ascii="宋体" w:hAnsi="宋体" w:cs="宋体"/>
          <w:szCs w:val="21"/>
          <w:lang w:val="zh-CN"/>
        </w:rPr>
      </w:pPr>
      <w:r>
        <w:rPr>
          <w:rFonts w:ascii="宋体" w:hAnsi="宋体" w:cs="宋体"/>
          <w:szCs w:val="21"/>
          <w:lang w:val="zh-CN"/>
        </w:rPr>
        <w:t>1</w:t>
      </w:r>
      <w:r>
        <w:rPr>
          <w:rFonts w:hint="eastAsia" w:ascii="宋体" w:hAnsi="宋体" w:cs="宋体"/>
          <w:szCs w:val="21"/>
          <w:lang w:val="zh-CN"/>
        </w:rPr>
        <w:t>.</w:t>
      </w:r>
      <w:r>
        <w:rPr>
          <w:rFonts w:ascii="宋体" w:hAnsi="宋体" w:cs="宋体"/>
          <w:szCs w:val="21"/>
          <w:lang w:val="zh-CN"/>
        </w:rPr>
        <w:t>对调整概算的必要性进行评价；</w:t>
      </w:r>
    </w:p>
    <w:p>
      <w:pPr>
        <w:spacing w:line="400" w:lineRule="exact"/>
        <w:ind w:firstLine="420" w:firstLineChars="200"/>
        <w:rPr>
          <w:rFonts w:ascii="宋体" w:hAnsi="宋体" w:cs="宋体"/>
          <w:szCs w:val="21"/>
          <w:lang w:val="zh-CN"/>
        </w:rPr>
      </w:pPr>
      <w:r>
        <w:rPr>
          <w:rFonts w:ascii="宋体" w:hAnsi="宋体" w:cs="宋体"/>
          <w:szCs w:val="21"/>
          <w:lang w:val="zh-CN"/>
        </w:rPr>
        <w:t>2</w:t>
      </w:r>
      <w:r>
        <w:rPr>
          <w:rFonts w:hint="eastAsia" w:ascii="宋体" w:hAnsi="宋体" w:cs="宋体"/>
          <w:szCs w:val="21"/>
          <w:lang w:val="zh-CN"/>
        </w:rPr>
        <w:t>.</w:t>
      </w:r>
      <w:r>
        <w:rPr>
          <w:rFonts w:ascii="宋体" w:hAnsi="宋体" w:cs="宋体"/>
          <w:szCs w:val="21"/>
          <w:lang w:val="zh-CN"/>
        </w:rPr>
        <w:t>对调整概算书的格式、内容、深度是否满足相关规范化要求进行评价。</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五、调概合理性评</w:t>
      </w:r>
      <w:r>
        <w:rPr>
          <w:rFonts w:hint="eastAsia" w:ascii="黑体" w:hAnsi="黑体" w:eastAsia="黑体" w:cs="黑体"/>
          <w:szCs w:val="21"/>
          <w:lang w:val="zh-CN"/>
        </w:rPr>
        <w:t>估</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（一）总体评</w:t>
      </w:r>
      <w:r>
        <w:rPr>
          <w:rFonts w:hint="eastAsia" w:ascii="黑体" w:hAnsi="黑体" w:eastAsia="黑体" w:cs="黑体"/>
          <w:szCs w:val="21"/>
          <w:lang w:val="zh-CN"/>
        </w:rPr>
        <w:t>估</w:t>
      </w:r>
      <w:r>
        <w:rPr>
          <w:rFonts w:ascii="黑体" w:hAnsi="黑体" w:eastAsia="黑体" w:cs="黑体"/>
          <w:szCs w:val="21"/>
          <w:lang w:val="zh-CN"/>
        </w:rPr>
        <w:t>意见</w:t>
      </w:r>
    </w:p>
    <w:p>
      <w:pPr>
        <w:spacing w:line="400" w:lineRule="exact"/>
        <w:ind w:firstLine="420" w:firstLineChars="200"/>
        <w:rPr>
          <w:rFonts w:ascii="宋体" w:hAnsi="宋体" w:cs="宋体"/>
          <w:szCs w:val="21"/>
          <w:lang w:val="zh-CN"/>
        </w:rPr>
      </w:pPr>
      <w:r>
        <w:rPr>
          <w:rFonts w:ascii="宋体" w:hAnsi="宋体" w:cs="宋体"/>
          <w:szCs w:val="21"/>
          <w:lang w:val="zh-CN"/>
        </w:rPr>
        <w:t>经专家评</w:t>
      </w:r>
      <w:r>
        <w:rPr>
          <w:rFonts w:hint="eastAsia" w:ascii="宋体" w:hAnsi="宋体" w:cs="宋体"/>
          <w:szCs w:val="21"/>
          <w:lang w:val="zh-CN"/>
        </w:rPr>
        <w:t>估</w:t>
      </w:r>
      <w:r>
        <w:rPr>
          <w:rFonts w:ascii="宋体" w:hAnsi="宋体" w:cs="宋体"/>
          <w:szCs w:val="21"/>
          <w:lang w:val="zh-CN"/>
        </w:rPr>
        <w:t>认为《调整调概</w:t>
      </w:r>
      <w:r>
        <w:rPr>
          <w:rFonts w:hint="eastAsia" w:ascii="宋体" w:hAnsi="宋体" w:cs="宋体"/>
          <w:szCs w:val="21"/>
          <w:lang w:val="zh-CN"/>
        </w:rPr>
        <w:t>书</w:t>
      </w:r>
      <w:r>
        <w:rPr>
          <w:rFonts w:ascii="宋体" w:hAnsi="宋体" w:cs="宋体"/>
          <w:szCs w:val="21"/>
          <w:lang w:val="zh-CN"/>
        </w:rPr>
        <w:t>》资料完整，编制规范、附件和支持性资料基本齐全，编制原则正确，取费标准基本合理。专家组</w:t>
      </w:r>
      <w:r>
        <w:rPr>
          <w:rFonts w:hint="eastAsia" w:ascii="宋体" w:hAnsi="宋体" w:cs="宋体"/>
          <w:szCs w:val="21"/>
        </w:rPr>
        <w:t>评估</w:t>
      </w:r>
      <w:r>
        <w:rPr>
          <w:rFonts w:ascii="宋体" w:hAnsi="宋体" w:cs="宋体"/>
          <w:szCs w:val="21"/>
          <w:lang w:val="zh-CN"/>
        </w:rPr>
        <w:t>了工程合同、设备采购合同、设计合同、咨询合同、勘察合同等，抽检（或全面审核）了引起工程投资变化大的主要工程量和工程单价，经对比施工图、现场签证、调整概算以及审计或结算资料，经复核计算，所抽检（或全面审核）项目未发现不合理计量，抽检主要工程单价取费基本合理，未发现不合理现象。</w:t>
      </w:r>
    </w:p>
    <w:p>
      <w:pPr>
        <w:spacing w:line="400" w:lineRule="exact"/>
        <w:ind w:firstLine="420" w:firstLineChars="200"/>
        <w:rPr>
          <w:rFonts w:ascii="宋体" w:hAnsi="宋体" w:cs="宋体"/>
          <w:szCs w:val="21"/>
          <w:lang w:val="zh-CN"/>
        </w:rPr>
      </w:pPr>
      <w:r>
        <w:rPr>
          <w:rFonts w:ascii="宋体" w:hAnsi="宋体" w:cs="宋体"/>
          <w:szCs w:val="21"/>
          <w:lang w:val="zh-CN"/>
        </w:rPr>
        <w:t>我中心（公司）原则同意专家组评</w:t>
      </w:r>
      <w:r>
        <w:rPr>
          <w:rFonts w:hint="eastAsia" w:ascii="宋体" w:hAnsi="宋体" w:cs="宋体"/>
          <w:szCs w:val="21"/>
          <w:lang w:val="zh-CN"/>
        </w:rPr>
        <w:t>估</w:t>
      </w:r>
      <w:r>
        <w:rPr>
          <w:rFonts w:ascii="宋体" w:hAnsi="宋体" w:cs="宋体"/>
          <w:szCs w:val="21"/>
          <w:lang w:val="zh-CN"/>
        </w:rPr>
        <w:t>意见。</w:t>
      </w:r>
    </w:p>
    <w:p>
      <w:pPr>
        <w:spacing w:line="400" w:lineRule="exact"/>
        <w:ind w:firstLine="420" w:firstLineChars="200"/>
        <w:rPr>
          <w:rFonts w:ascii="黑体" w:hAnsi="黑体" w:eastAsia="黑体" w:cs="黑体"/>
          <w:szCs w:val="21"/>
          <w:lang w:val="zh-CN"/>
        </w:rPr>
      </w:pPr>
      <w:r>
        <w:rPr>
          <w:rFonts w:ascii="黑体" w:hAnsi="黑体" w:eastAsia="黑体" w:cs="黑体"/>
          <w:szCs w:val="21"/>
          <w:lang w:val="zh-CN"/>
        </w:rPr>
        <w:t>（二）具体评</w:t>
      </w:r>
      <w:r>
        <w:rPr>
          <w:rFonts w:hint="eastAsia" w:ascii="黑体" w:hAnsi="黑体" w:eastAsia="黑体" w:cs="黑体"/>
          <w:szCs w:val="21"/>
          <w:lang w:val="zh-CN"/>
        </w:rPr>
        <w:t>估</w:t>
      </w:r>
      <w:r>
        <w:rPr>
          <w:rFonts w:ascii="黑体" w:hAnsi="黑体" w:eastAsia="黑体" w:cs="黑体"/>
          <w:szCs w:val="21"/>
          <w:lang w:val="zh-CN"/>
        </w:rPr>
        <w:t>意见</w:t>
      </w:r>
    </w:p>
    <w:p>
      <w:pPr>
        <w:spacing w:line="400" w:lineRule="exact"/>
        <w:ind w:firstLine="420" w:firstLineChars="200"/>
        <w:rPr>
          <w:rFonts w:ascii="宋体" w:hAnsi="宋体" w:cs="宋体"/>
          <w:szCs w:val="21"/>
          <w:lang w:val="zh-CN"/>
        </w:rPr>
      </w:pPr>
      <w:r>
        <w:rPr>
          <w:rFonts w:ascii="宋体" w:hAnsi="宋体" w:cs="宋体"/>
          <w:szCs w:val="21"/>
          <w:lang w:val="zh-CN"/>
        </w:rPr>
        <w:t>1</w:t>
      </w:r>
      <w:r>
        <w:rPr>
          <w:rFonts w:hint="eastAsia" w:ascii="宋体" w:hAnsi="宋体" w:cs="宋体"/>
          <w:szCs w:val="21"/>
          <w:lang w:val="zh-CN"/>
        </w:rPr>
        <w:t>.</w:t>
      </w:r>
      <w:r>
        <w:rPr>
          <w:rFonts w:ascii="宋体" w:hAnsi="宋体" w:cs="宋体"/>
          <w:szCs w:val="21"/>
          <w:lang w:val="zh-CN"/>
        </w:rPr>
        <w:t>与原批概算相比，因建设规模发生变化引起的造价变化；</w:t>
      </w:r>
    </w:p>
    <w:p>
      <w:pPr>
        <w:spacing w:line="400" w:lineRule="exact"/>
        <w:ind w:firstLine="420" w:firstLineChars="200"/>
        <w:rPr>
          <w:rFonts w:ascii="宋体" w:hAnsi="宋体" w:cs="宋体"/>
          <w:szCs w:val="21"/>
          <w:lang w:val="zh-CN"/>
        </w:rPr>
      </w:pPr>
      <w:r>
        <w:rPr>
          <w:rFonts w:ascii="宋体" w:hAnsi="宋体" w:cs="宋体"/>
          <w:szCs w:val="21"/>
          <w:lang w:val="zh-CN"/>
        </w:rPr>
        <w:t>2</w:t>
      </w:r>
      <w:r>
        <w:rPr>
          <w:rFonts w:hint="eastAsia" w:ascii="宋体" w:hAnsi="宋体" w:cs="宋体"/>
          <w:szCs w:val="21"/>
          <w:lang w:val="zh-CN"/>
        </w:rPr>
        <w:t>.</w:t>
      </w:r>
      <w:r>
        <w:rPr>
          <w:rFonts w:ascii="宋体" w:hAnsi="宋体" w:cs="宋体"/>
          <w:szCs w:val="21"/>
          <w:lang w:val="zh-CN"/>
        </w:rPr>
        <w:t>与原批概算相比，因建设功能发生变化引起的造价变化；</w:t>
      </w:r>
    </w:p>
    <w:p>
      <w:pPr>
        <w:spacing w:line="400" w:lineRule="exact"/>
        <w:ind w:firstLine="420" w:firstLineChars="200"/>
        <w:rPr>
          <w:rFonts w:ascii="宋体" w:hAnsi="宋体" w:cs="宋体"/>
          <w:szCs w:val="21"/>
          <w:lang w:val="zh-CN"/>
        </w:rPr>
      </w:pPr>
      <w:r>
        <w:rPr>
          <w:rFonts w:ascii="宋体" w:hAnsi="宋体" w:cs="宋体"/>
          <w:szCs w:val="21"/>
          <w:lang w:val="zh-CN"/>
        </w:rPr>
        <w:t>3.与原批概算相比，因建设标准发生变化引起的造价变化</w:t>
      </w:r>
      <w:r>
        <w:rPr>
          <w:rFonts w:hint="eastAsia" w:ascii="宋体" w:hAnsi="宋体" w:cs="宋体"/>
          <w:szCs w:val="21"/>
          <w:lang w:val="zh-CN"/>
        </w:rPr>
        <w:t>；</w:t>
      </w:r>
    </w:p>
    <w:p>
      <w:pPr>
        <w:spacing w:line="400" w:lineRule="exact"/>
        <w:ind w:firstLine="420" w:firstLineChars="200"/>
        <w:rPr>
          <w:rFonts w:ascii="宋体" w:hAnsi="宋体" w:cs="宋体"/>
          <w:szCs w:val="21"/>
          <w:lang w:val="zh-CN"/>
        </w:rPr>
      </w:pPr>
      <w:r>
        <w:rPr>
          <w:rFonts w:ascii="宋体" w:hAnsi="宋体" w:cs="宋体"/>
          <w:szCs w:val="21"/>
          <w:lang w:val="zh-CN"/>
        </w:rPr>
        <w:t>4</w:t>
      </w:r>
      <w:r>
        <w:rPr>
          <w:rFonts w:hint="eastAsia" w:ascii="宋体" w:hAnsi="宋体" w:cs="宋体"/>
          <w:szCs w:val="21"/>
          <w:lang w:val="zh-CN"/>
        </w:rPr>
        <w:t>.</w:t>
      </w:r>
      <w:r>
        <w:rPr>
          <w:rFonts w:ascii="宋体" w:hAnsi="宋体" w:cs="宋体"/>
          <w:szCs w:val="21"/>
          <w:lang w:val="zh-CN"/>
        </w:rPr>
        <w:t>与原批概算相比，审批范围内工程量发生变化引起的造价变化；</w:t>
      </w:r>
    </w:p>
    <w:p>
      <w:pPr>
        <w:spacing w:line="400" w:lineRule="exact"/>
        <w:ind w:firstLine="420" w:firstLineChars="200"/>
        <w:rPr>
          <w:rFonts w:hint="eastAsia" w:ascii="宋体" w:hAnsi="宋体" w:cs="宋体"/>
          <w:szCs w:val="21"/>
        </w:rPr>
      </w:pPr>
      <w:r>
        <w:rPr>
          <w:rFonts w:ascii="宋体" w:hAnsi="宋体" w:cs="宋体"/>
          <w:szCs w:val="21"/>
          <w:lang w:val="zh-CN"/>
        </w:rPr>
        <w:t>5.与原批概算相比，因市场材料发生变化引起的造价变</w:t>
      </w:r>
      <w:r>
        <w:rPr>
          <w:rFonts w:hint="eastAsia" w:ascii="宋体" w:hAnsi="宋体" w:cs="宋体"/>
          <w:szCs w:val="21"/>
        </w:rPr>
        <w:t>化；</w:t>
      </w:r>
    </w:p>
    <w:p>
      <w:pPr>
        <w:spacing w:line="400" w:lineRule="exact"/>
        <w:ind w:firstLine="420" w:firstLineChars="200"/>
        <w:rPr>
          <w:rFonts w:hint="eastAsia" w:ascii="宋体" w:hAnsi="宋体" w:cs="宋体"/>
          <w:szCs w:val="21"/>
        </w:rPr>
      </w:pPr>
      <w:r>
        <w:rPr>
          <w:rFonts w:hint="eastAsia" w:ascii="宋体" w:hAnsi="宋体" w:cs="宋体"/>
          <w:szCs w:val="21"/>
        </w:rPr>
        <w:t>6.与原批概算相比，因人工费发生变化引起的造价变化；</w:t>
      </w:r>
    </w:p>
    <w:p>
      <w:pPr>
        <w:spacing w:line="400" w:lineRule="exact"/>
        <w:ind w:firstLine="420" w:firstLineChars="200"/>
        <w:rPr>
          <w:rFonts w:hint="eastAsia" w:ascii="宋体" w:hAnsi="宋体" w:cs="宋体"/>
          <w:szCs w:val="21"/>
        </w:rPr>
      </w:pPr>
      <w:r>
        <w:rPr>
          <w:rFonts w:hint="eastAsia" w:ascii="宋体" w:hAnsi="宋体" w:cs="宋体"/>
          <w:szCs w:val="21"/>
        </w:rPr>
        <w:t>7.与原批概算相比，因政策性文件引起的造价变化；</w:t>
      </w:r>
    </w:p>
    <w:p>
      <w:pPr>
        <w:spacing w:line="400" w:lineRule="exact"/>
        <w:ind w:firstLine="420" w:firstLineChars="200"/>
        <w:rPr>
          <w:rFonts w:hint="eastAsia" w:ascii="宋体" w:hAnsi="宋体" w:cs="宋体"/>
          <w:szCs w:val="21"/>
        </w:rPr>
      </w:pPr>
      <w:r>
        <w:rPr>
          <w:rFonts w:hint="eastAsia" w:ascii="宋体" w:hAnsi="宋体" w:cs="宋体"/>
          <w:szCs w:val="21"/>
        </w:rPr>
        <w:t>8.与原批概算相比，因工程建设其他费用发生变化引起的造价变化。</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rPr>
        <w:t>六、评估结论</w:t>
      </w:r>
    </w:p>
    <w:p>
      <w:pPr>
        <w:spacing w:line="400" w:lineRule="exact"/>
        <w:ind w:firstLine="420" w:firstLineChars="200"/>
        <w:rPr>
          <w:rFonts w:hint="eastAsia" w:ascii="宋体" w:hAnsi="宋体" w:cs="宋体"/>
          <w:szCs w:val="21"/>
        </w:rPr>
      </w:pPr>
      <w:r>
        <w:rPr>
          <w:rFonts w:hint="eastAsia" w:ascii="宋体" w:hAnsi="宋体" w:cs="宋体"/>
          <w:szCs w:val="21"/>
        </w:rPr>
        <w:t>经评估，本项目核定调整概算总投资</w:t>
      </w:r>
      <w:r>
        <w:rPr>
          <w:rFonts w:hint="eastAsia" w:ascii="宋体" w:hAnsi="宋体" w:cs="宋体"/>
          <w:szCs w:val="21"/>
          <w:lang w:val="zh-CN"/>
        </w:rPr>
        <w:t>××</w:t>
      </w:r>
      <w:r>
        <w:rPr>
          <w:rFonts w:hint="eastAsia" w:ascii="宋体" w:hAnsi="宋体" w:cs="宋体"/>
          <w:szCs w:val="21"/>
        </w:rPr>
        <w:t>万元，比报送调整概算总投资核减（增）</w:t>
      </w:r>
      <w:r>
        <w:rPr>
          <w:rFonts w:hint="eastAsia" w:ascii="宋体" w:hAnsi="宋体" w:cs="宋体"/>
          <w:szCs w:val="21"/>
          <w:lang w:val="zh-CN"/>
        </w:rPr>
        <w:t>××</w:t>
      </w:r>
      <w:r>
        <w:rPr>
          <w:rFonts w:hint="eastAsia" w:ascii="宋体" w:hAnsi="宋体" w:cs="宋体"/>
          <w:szCs w:val="21"/>
        </w:rPr>
        <w:t>万元，比初步设计批复总投资核减（增）</w:t>
      </w:r>
      <w:r>
        <w:rPr>
          <w:rFonts w:hint="eastAsia" w:ascii="宋体" w:hAnsi="宋体" w:cs="宋体"/>
          <w:szCs w:val="21"/>
          <w:lang w:val="zh-CN"/>
        </w:rPr>
        <w:t>××</w:t>
      </w:r>
      <w:r>
        <w:rPr>
          <w:rFonts w:hint="eastAsia" w:ascii="宋体" w:hAnsi="宋体" w:cs="宋体"/>
          <w:szCs w:val="21"/>
        </w:rPr>
        <w:t>万元。核定调整概算静态总投资</w:t>
      </w:r>
      <w:r>
        <w:rPr>
          <w:rFonts w:hint="eastAsia" w:ascii="宋体" w:hAnsi="宋体" w:cs="宋体"/>
          <w:szCs w:val="21"/>
          <w:lang w:val="zh-CN"/>
        </w:rPr>
        <w:t>××</w:t>
      </w:r>
      <w:r>
        <w:rPr>
          <w:rFonts w:hint="eastAsia" w:ascii="宋体" w:hAnsi="宋体" w:cs="宋体"/>
          <w:szCs w:val="21"/>
        </w:rPr>
        <w:t>万元，比报送调整概算静态总投资核减（增）</w:t>
      </w:r>
      <w:r>
        <w:rPr>
          <w:rFonts w:hint="eastAsia" w:ascii="宋体" w:hAnsi="宋体" w:cs="宋体"/>
          <w:szCs w:val="21"/>
          <w:lang w:val="zh-CN"/>
        </w:rPr>
        <w:t>××</w:t>
      </w:r>
      <w:r>
        <w:rPr>
          <w:rFonts w:hint="eastAsia" w:ascii="宋体" w:hAnsi="宋体" w:cs="宋体"/>
          <w:szCs w:val="21"/>
        </w:rPr>
        <w:t>万元，比初步设计批复静态总投资核减（增）</w:t>
      </w:r>
      <w:r>
        <w:rPr>
          <w:rFonts w:hint="eastAsia" w:ascii="宋体" w:hAnsi="宋体" w:cs="宋体"/>
          <w:szCs w:val="21"/>
          <w:lang w:val="zh-CN"/>
        </w:rPr>
        <w:t>××</w:t>
      </w:r>
      <w:r>
        <w:rPr>
          <w:rFonts w:hint="eastAsia" w:ascii="宋体" w:hAnsi="宋体" w:cs="宋体"/>
          <w:szCs w:val="21"/>
        </w:rPr>
        <w:t>万元。</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rPr>
        <w:t>附表：</w:t>
      </w:r>
    </w:p>
    <w:p>
      <w:pPr>
        <w:spacing w:line="4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zh-CN"/>
        </w:rPr>
        <w:t>××</w:t>
      </w:r>
      <w:r>
        <w:rPr>
          <w:rFonts w:hint="eastAsia" w:ascii="宋体" w:hAnsi="宋体" w:cs="宋体"/>
          <w:szCs w:val="21"/>
        </w:rPr>
        <w:t>工程调整概算核定总表、核定投资变化对照表及原因分析表</w:t>
      </w:r>
    </w:p>
    <w:p>
      <w:pPr>
        <w:spacing w:line="40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工程分项工程调整概算核定表、核定投资变化对照表及原因分析表</w:t>
      </w:r>
    </w:p>
    <w:p>
      <w:pPr>
        <w:pStyle w:val="11"/>
        <w:rPr>
          <w:rFonts w:hint="eastAsia"/>
        </w:rPr>
      </w:pPr>
    </w:p>
    <w:p>
      <w:pPr>
        <w:pStyle w:val="11"/>
        <w:rPr>
          <w:rFonts w:hint="eastAsia"/>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0A78D"/>
    <w:multiLevelType w:val="multilevel"/>
    <w:tmpl w:val="8FD0A78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B0E3F0CF"/>
    <w:multiLevelType w:val="multilevel"/>
    <w:tmpl w:val="B0E3F0C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C668733A"/>
    <w:multiLevelType w:val="multilevel"/>
    <w:tmpl w:val="C668733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E0ADEC02"/>
    <w:multiLevelType w:val="multilevel"/>
    <w:tmpl w:val="E0ADEC02"/>
    <w:lvl w:ilvl="0" w:tentative="0">
      <w:start w:val="1"/>
      <w:numFmt w:val="lowerLetter"/>
      <w:pStyle w:val="1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EB8AE8C1"/>
    <w:multiLevelType w:val="multilevel"/>
    <w:tmpl w:val="EB8AE8C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17136A9"/>
    <w:multiLevelType w:val="multilevel"/>
    <w:tmpl w:val="217136A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2A8F7113"/>
    <w:multiLevelType w:val="multilevel"/>
    <w:tmpl w:val="2A8F7113"/>
    <w:lvl w:ilvl="0" w:tentative="0">
      <w:start w:val="1"/>
      <w:numFmt w:val="upperLetter"/>
      <w:pStyle w:val="21"/>
      <w:suff w:val="space"/>
      <w:lvlText w:val="%1"/>
      <w:lvlJc w:val="left"/>
      <w:pPr>
        <w:ind w:left="623" w:hanging="425"/>
      </w:pPr>
      <w:rPr>
        <w:rFonts w:hint="eastAsia"/>
      </w:rPr>
    </w:lvl>
    <w:lvl w:ilvl="1" w:tentative="0">
      <w:start w:val="1"/>
      <w:numFmt w:val="decimal"/>
      <w:pStyle w:val="2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362E487D"/>
    <w:multiLevelType w:val="multilevel"/>
    <w:tmpl w:val="362E487D"/>
    <w:lvl w:ilvl="0" w:tentative="0">
      <w:start w:val="1"/>
      <w:numFmt w:val="japaneseCounting"/>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4E0B3F9E"/>
    <w:multiLevelType w:val="multilevel"/>
    <w:tmpl w:val="4E0B3F9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511E362C"/>
    <w:multiLevelType w:val="multilevel"/>
    <w:tmpl w:val="511E362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51E072F8"/>
    <w:multiLevelType w:val="multilevel"/>
    <w:tmpl w:val="51E072F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60B55DC2"/>
    <w:multiLevelType w:val="multilevel"/>
    <w:tmpl w:val="60B55DC2"/>
    <w:lvl w:ilvl="0" w:tentative="0">
      <w:start w:val="1"/>
      <w:numFmt w:val="upperLetter"/>
      <w:pStyle w:val="22"/>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57D3FBC"/>
    <w:multiLevelType w:val="multilevel"/>
    <w:tmpl w:val="657D3FBC"/>
    <w:lvl w:ilvl="0" w:tentative="0">
      <w:start w:val="1"/>
      <w:numFmt w:val="upperLetter"/>
      <w:pStyle w:val="2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FD3190"/>
    <w:multiLevelType w:val="multilevel"/>
    <w:tmpl w:val="6AFD31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6DDB1AA1"/>
    <w:multiLevelType w:val="singleLevel"/>
    <w:tmpl w:val="6DDB1AA1"/>
    <w:lvl w:ilvl="0" w:tentative="0">
      <w:start w:val="1"/>
      <w:numFmt w:val="chineseCounting"/>
      <w:suff w:val="nothing"/>
      <w:lvlText w:val="%1、"/>
      <w:lvlJc w:val="left"/>
      <w:rPr>
        <w:rFonts w:hint="eastAsia"/>
      </w:rPr>
    </w:lvl>
  </w:abstractNum>
  <w:abstractNum w:abstractNumId="16">
    <w:nsid w:val="74C74C3A"/>
    <w:multiLevelType w:val="multilevel"/>
    <w:tmpl w:val="74C74C3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7D1568F4"/>
    <w:multiLevelType w:val="multilevel"/>
    <w:tmpl w:val="7D1568F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5"/>
  </w:num>
  <w:num w:numId="2">
    <w:abstractNumId w:val="3"/>
  </w:num>
  <w:num w:numId="3">
    <w:abstractNumId w:val="7"/>
  </w:num>
  <w:num w:numId="4">
    <w:abstractNumId w:val="12"/>
  </w:num>
  <w:num w:numId="5">
    <w:abstractNumId w:val="13"/>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6"/>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 w:name="KSO_WPS_MARK_KEY" w:val="637f28b8-f54b-45fa-bd60-f58c0a207b2a"/>
  </w:docVars>
  <w:rsids>
    <w:rsidRoot w:val="CFFEA6FD"/>
    <w:rsid w:val="1FF8A834"/>
    <w:rsid w:val="32D1341A"/>
    <w:rsid w:val="5D7A7449"/>
    <w:rsid w:val="7D6FC0A0"/>
    <w:rsid w:val="CFFEA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ind w:leftChars="200"/>
      <w:outlineLvl w:val="0"/>
    </w:pPr>
    <w:rPr>
      <w:rFonts w:ascii="Calibri" w:hAnsi="Calibri" w:eastAsia="CESI黑体-GB13000" w:cs="Times New Roman"/>
      <w:b/>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jc w:val="left"/>
    </w:pPr>
    <w:rPr>
      <w:b/>
      <w:sz w:val="30"/>
      <w:szCs w:val="20"/>
      <w:shd w:val="pct10" w:color="auto" w:fill="FFFFFF"/>
    </w:rPr>
  </w:style>
  <w:style w:type="paragraph" w:styleId="4">
    <w:name w:val="footer"/>
    <w:basedOn w:val="1"/>
    <w:qFormat/>
    <w:uiPriority w:val="0"/>
    <w:pPr>
      <w:snapToGrid w:val="0"/>
      <w:ind w:right="210" w:rightChars="100"/>
      <w:jc w:val="right"/>
    </w:pPr>
    <w:rPr>
      <w:sz w:val="18"/>
      <w:szCs w:val="18"/>
    </w:rPr>
  </w:style>
  <w:style w:type="paragraph" w:styleId="5">
    <w:name w:val="toc 1"/>
    <w:basedOn w:val="1"/>
    <w:next w:val="1"/>
    <w:semiHidden/>
    <w:qFormat/>
    <w:uiPriority w:val="0"/>
    <w:pPr>
      <w:tabs>
        <w:tab w:val="right" w:leader="dot" w:pos="9241"/>
      </w:tabs>
      <w:spacing w:before="79" w:beforeLines="25" w:after="79" w:afterLines="25"/>
      <w:jc w:val="left"/>
    </w:pPr>
    <w:rPr>
      <w:rFonts w:ascii="宋体"/>
      <w:szCs w:val="21"/>
    </w:rPr>
  </w:style>
  <w:style w:type="character" w:styleId="8">
    <w:name w:val="page number"/>
    <w:qFormat/>
    <w:uiPriority w:val="0"/>
    <w:rPr>
      <w:rFonts w:ascii="Times New Roman" w:hAnsi="Times New Roman" w:eastAsia="宋体"/>
      <w:sz w:val="18"/>
    </w:rPr>
  </w:style>
  <w:style w:type="character" w:styleId="9">
    <w:name w:val="Hyperlink"/>
    <w:qFormat/>
    <w:uiPriority w:val="0"/>
    <w:rPr>
      <w:color w:val="0000FF"/>
      <w:spacing w:val="0"/>
      <w:w w:val="100"/>
      <w:szCs w:val="21"/>
      <w:u w:val="single"/>
    </w:rPr>
  </w:style>
  <w:style w:type="character" w:styleId="10">
    <w:name w:val="annotation reference"/>
    <w:semiHidden/>
    <w:qFormat/>
    <w:uiPriority w:val="0"/>
    <w:rPr>
      <w:sz w:val="21"/>
      <w:szCs w:val="21"/>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5">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6">
    <w:name w:val="二级无"/>
    <w:basedOn w:val="17"/>
    <w:qFormat/>
    <w:uiPriority w:val="0"/>
    <w:pPr>
      <w:spacing w:before="0" w:beforeLines="0" w:after="0" w:afterLines="0"/>
    </w:pPr>
    <w:rPr>
      <w:rFonts w:ascii="宋体" w:eastAsia="宋体"/>
    </w:rPr>
  </w:style>
  <w:style w:type="paragraph" w:customStyle="1" w:styleId="17">
    <w:name w:val="二级条标题"/>
    <w:basedOn w:val="15"/>
    <w:next w:val="11"/>
    <w:qFormat/>
    <w:uiPriority w:val="0"/>
    <w:pPr>
      <w:numPr>
        <w:ilvl w:val="2"/>
        <w:numId w:val="1"/>
      </w:numPr>
      <w:spacing w:before="50" w:after="50"/>
      <w:outlineLvl w:val="3"/>
    </w:pPr>
  </w:style>
  <w:style w:type="paragraph" w:customStyle="1" w:styleId="1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9">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0">
    <w:name w:val="一级无"/>
    <w:basedOn w:val="15"/>
    <w:qFormat/>
    <w:uiPriority w:val="0"/>
    <w:pPr>
      <w:spacing w:before="0" w:beforeLines="0" w:after="0" w:afterLines="0"/>
    </w:pPr>
    <w:rPr>
      <w:rFonts w:ascii="宋体" w:eastAsia="宋体"/>
    </w:rPr>
  </w:style>
  <w:style w:type="paragraph" w:customStyle="1" w:styleId="21">
    <w:name w:val="附录图标号"/>
    <w:basedOn w:val="1"/>
    <w:qFormat/>
    <w:uiPriority w:val="0"/>
    <w:pPr>
      <w:keepNext/>
      <w:pageBreakBefore/>
      <w:widowControl/>
      <w:numPr>
        <w:ilvl w:val="0"/>
        <w:numId w:val="3"/>
      </w:numPr>
      <w:spacing w:line="14" w:lineRule="exact"/>
      <w:ind w:left="0" w:firstLine="363"/>
      <w:jc w:val="center"/>
      <w:outlineLvl w:val="0"/>
    </w:pPr>
    <w:rPr>
      <w:color w:val="FFFFFF"/>
    </w:rPr>
  </w:style>
  <w:style w:type="paragraph" w:customStyle="1" w:styleId="22">
    <w:name w:val="附录表标号"/>
    <w:basedOn w:val="1"/>
    <w:next w:val="11"/>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23">
    <w:name w:val="附录标识"/>
    <w:basedOn w:val="1"/>
    <w:next w:val="11"/>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
    <w:name w:val="附录图标题"/>
    <w:basedOn w:val="1"/>
    <w:next w:val="11"/>
    <w:qFormat/>
    <w:uiPriority w:val="0"/>
    <w:pPr>
      <w:numPr>
        <w:ilvl w:val="1"/>
        <w:numId w:val="3"/>
      </w:numPr>
      <w:tabs>
        <w:tab w:val="left" w:pos="363"/>
      </w:tabs>
      <w:spacing w:before="50" w:beforeLines="50" w:after="50" w:afterLines="50"/>
      <w:ind w:left="0" w:firstLine="0"/>
      <w:jc w:val="center"/>
    </w:pPr>
    <w:rPr>
      <w:rFonts w:ascii="黑体" w:eastAsia="黑体"/>
      <w:szCs w:val="21"/>
    </w:rPr>
  </w:style>
  <w:style w:type="paragraph" w:customStyle="1" w:styleId="25">
    <w:name w:val="附录章标题"/>
    <w:next w:val="11"/>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6">
    <w:name w:val="附录一级条标题"/>
    <w:basedOn w:val="25"/>
    <w:next w:val="11"/>
    <w:qFormat/>
    <w:uiPriority w:val="0"/>
    <w:pPr>
      <w:numPr>
        <w:ilvl w:val="2"/>
        <w:numId w:val="5"/>
      </w:numPr>
      <w:autoSpaceDN w:val="0"/>
      <w:spacing w:before="50" w:beforeLines="50" w:after="50" w:afterLines="50"/>
      <w:outlineLvl w:val="2"/>
    </w:pPr>
  </w:style>
  <w:style w:type="paragraph" w:customStyle="1" w:styleId="27">
    <w:name w:val="附录二级无"/>
    <w:basedOn w:val="28"/>
    <w:qFormat/>
    <w:uiPriority w:val="0"/>
    <w:pPr>
      <w:tabs>
        <w:tab w:val="left" w:pos="360"/>
      </w:tabs>
      <w:spacing w:before="0" w:beforeLines="0" w:after="0" w:afterLines="0"/>
    </w:pPr>
    <w:rPr>
      <w:rFonts w:ascii="宋体" w:eastAsia="宋体"/>
      <w:szCs w:val="21"/>
    </w:rPr>
  </w:style>
  <w:style w:type="paragraph" w:customStyle="1" w:styleId="28">
    <w:name w:val="附录二级条标题"/>
    <w:basedOn w:val="1"/>
    <w:next w:val="11"/>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9">
    <w:name w:val="附录三级无"/>
    <w:basedOn w:val="30"/>
    <w:qFormat/>
    <w:uiPriority w:val="0"/>
    <w:pPr>
      <w:tabs>
        <w:tab w:val="left" w:pos="360"/>
      </w:tabs>
      <w:spacing w:before="0" w:beforeLines="0" w:after="0" w:afterLines="0"/>
    </w:pPr>
    <w:rPr>
      <w:rFonts w:ascii="宋体" w:eastAsia="宋体"/>
      <w:szCs w:val="21"/>
    </w:rPr>
  </w:style>
  <w:style w:type="paragraph" w:customStyle="1" w:styleId="30">
    <w:name w:val="附录三级条标题"/>
    <w:basedOn w:val="28"/>
    <w:next w:val="11"/>
    <w:qFormat/>
    <w:uiPriority w:val="0"/>
    <w:pPr>
      <w:numPr>
        <w:ilvl w:val="4"/>
        <w:numId w:val="5"/>
      </w:numPr>
      <w:outlineLvl w:val="4"/>
    </w:pPr>
  </w:style>
  <w:style w:type="paragraph" w:customStyle="1" w:styleId="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12973</Words>
  <Characters>13145</Characters>
  <Lines>0</Lines>
  <Paragraphs>0</Paragraphs>
  <TotalTime>1</TotalTime>
  <ScaleCrop>false</ScaleCrop>
  <LinksUpToDate>false</LinksUpToDate>
  <CharactersWithSpaces>13329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2024-01-11T14:23:00Z</dcterms:created>
  <dc:creator>guest</dc:creator>
  <cp:lastModifiedBy>admin</cp:lastModifiedBy>
  <dcterms:modified xsi:type="dcterms:W3CDTF">2024-01-11T08:32:03Z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FF2CC088323B4333900691146E0E1CC3_13</vt:lpwstr>
  </property>
</Properties>
</file>