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101"/>
        <w:gridCol w:w="3940"/>
        <w:gridCol w:w="1769"/>
        <w:gridCol w:w="2910"/>
        <w:gridCol w:w="3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821"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32"/>
                <w:szCs w:val="32"/>
                <w:u w:val="none"/>
              </w:rPr>
            </w:pPr>
            <w:bookmarkStart w:id="0" w:name="_GoBack"/>
            <w:bookmarkEnd w:id="0"/>
          </w:p>
        </w:tc>
        <w:tc>
          <w:tcPr>
            <w:tcW w:w="3940" w:type="dxa"/>
            <w:tcBorders>
              <w:top w:val="nil"/>
              <w:left w:val="nil"/>
              <w:bottom w:val="nil"/>
              <w:right w:val="nil"/>
            </w:tcBorders>
            <w:noWrap w:val="0"/>
            <w:vAlign w:val="bottom"/>
          </w:tcPr>
          <w:p>
            <w:pPr>
              <w:rPr>
                <w:rFonts w:hint="default" w:ascii="Times New Roman" w:hAnsi="Times New Roman" w:eastAsia="宋体" w:cs="Times New Roman"/>
                <w:i w:val="0"/>
                <w:iCs w:val="0"/>
                <w:color w:val="000000"/>
                <w:sz w:val="24"/>
                <w:szCs w:val="24"/>
                <w:u w:val="none"/>
              </w:rPr>
            </w:pPr>
          </w:p>
        </w:tc>
        <w:tc>
          <w:tcPr>
            <w:tcW w:w="1769" w:type="dxa"/>
            <w:tcBorders>
              <w:top w:val="nil"/>
              <w:left w:val="nil"/>
              <w:bottom w:val="nil"/>
              <w:right w:val="nil"/>
            </w:tcBorders>
            <w:noWrap w:val="0"/>
            <w:vAlign w:val="bottom"/>
          </w:tcPr>
          <w:p>
            <w:pPr>
              <w:rPr>
                <w:rFonts w:hint="default" w:ascii="Times New Roman" w:hAnsi="Times New Roman" w:eastAsia="宋体" w:cs="Times New Roman"/>
                <w:i w:val="0"/>
                <w:iCs w:val="0"/>
                <w:color w:val="000000"/>
                <w:sz w:val="24"/>
                <w:szCs w:val="24"/>
                <w:u w:val="none"/>
              </w:rPr>
            </w:pPr>
          </w:p>
        </w:tc>
        <w:tc>
          <w:tcPr>
            <w:tcW w:w="2910" w:type="dxa"/>
            <w:tcBorders>
              <w:top w:val="nil"/>
              <w:left w:val="nil"/>
              <w:bottom w:val="nil"/>
              <w:right w:val="nil"/>
            </w:tcBorders>
            <w:noWrap w:val="0"/>
            <w:vAlign w:val="bottom"/>
          </w:tcPr>
          <w:p>
            <w:pPr>
              <w:rPr>
                <w:rFonts w:hint="default" w:ascii="Times New Roman" w:hAnsi="Times New Roman" w:eastAsia="宋体" w:cs="Times New Roman"/>
                <w:i w:val="0"/>
                <w:iCs w:val="0"/>
                <w:color w:val="000000"/>
                <w:sz w:val="24"/>
                <w:szCs w:val="24"/>
                <w:u w:val="none"/>
              </w:rPr>
            </w:pPr>
          </w:p>
        </w:tc>
        <w:tc>
          <w:tcPr>
            <w:tcW w:w="3480" w:type="dxa"/>
            <w:tcBorders>
              <w:top w:val="nil"/>
              <w:left w:val="nil"/>
              <w:bottom w:val="nil"/>
              <w:right w:val="nil"/>
            </w:tcBorders>
            <w:noWrap w:val="0"/>
            <w:vAlign w:val="bottom"/>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陕西省定价成本监审目录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别</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监审项目</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监审形式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0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力</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省级以下电网输配电成本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101"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油气管道运</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输</w:t>
            </w:r>
          </w:p>
        </w:tc>
        <w:tc>
          <w:tcPr>
            <w:tcW w:w="39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省内管道运输成本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企业内部自用管道成本除外。设区市辖区内独立运营的短途管道运输成本授权所在设区市价格主管部门监审。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101" w:type="dxa"/>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气</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城镇管道燃气配气成本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水</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省内跨设区市和省属水利工程供水成本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用户自建自用的和供需双方协商定价的水利工程供水成本除外。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辖区内跨县（市、区）和设区市市属、区属水利工程供水成本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设区市价格主管部门</w:t>
            </w:r>
          </w:p>
        </w:tc>
        <w:tc>
          <w:tcPr>
            <w:tcW w:w="3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县属水利工程供水成本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县价格主管部门</w:t>
            </w:r>
          </w:p>
        </w:tc>
        <w:tc>
          <w:tcPr>
            <w:tcW w:w="3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城乡公共管网供应自来水成</w:t>
            </w:r>
            <w:r>
              <w:rPr>
                <w:rFonts w:hint="eastAsia" w:ascii="宋体" w:hAnsi="宋体" w:eastAsia="宋体" w:cs="宋体"/>
                <w:i w:val="0"/>
                <w:iCs w:val="0"/>
                <w:color w:val="000000"/>
                <w:kern w:val="0"/>
                <w:sz w:val="22"/>
                <w:szCs w:val="22"/>
                <w:u w:val="none"/>
                <w:lang w:val="en-US" w:eastAsia="zh-CN" w:bidi="ar"/>
              </w:rPr>
              <w:t>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农村村民自建、自管的</w:t>
            </w:r>
            <w:r>
              <w:rPr>
                <w:rFonts w:hint="eastAsia" w:ascii="宋体" w:hAnsi="宋体" w:eastAsia="宋体" w:cs="宋体"/>
                <w:i w:val="0"/>
                <w:iCs w:val="0"/>
                <w:color w:val="000000"/>
                <w:sz w:val="22"/>
                <w:szCs w:val="22"/>
                <w:u w:val="none"/>
                <w:lang w:val="en-US" w:eastAsia="zh-CN"/>
              </w:rPr>
              <w:t>自来水成</w:t>
            </w:r>
            <w:r>
              <w:rPr>
                <w:rFonts w:hint="eastAsia" w:ascii="宋体" w:hAnsi="宋体" w:eastAsia="宋体" w:cs="宋体"/>
                <w:i w:val="0"/>
                <w:iCs w:val="0"/>
                <w:color w:val="000000"/>
                <w:kern w:val="0"/>
                <w:sz w:val="22"/>
                <w:szCs w:val="22"/>
                <w:u w:val="none"/>
                <w:lang w:val="en-US" w:eastAsia="zh-CN" w:bidi="ar"/>
              </w:rPr>
              <w:t>本除外。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热</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城镇集中供热成本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别</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监审项目</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监审形式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政府还贷公路（含桥梁和隧道）车辆通行服务成本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省交通运输主管部门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经营性公路（含桥梁和隧道）车辆通行服务成本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省交通运输主管部门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城市道路上利用贷款或集资建设的桥梁、隧道车辆通行服务成本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省内市际、县际道路班车客运服务成本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农村道路班车客运服务成本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汽车客运站服务成本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城市公共交通（含轨道交通）客运服务成本和客运出租车运输服务成本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网络预约出租车客运服务成本除外。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具有自然垄断经营和公益性特征的机动车停放设施服务成本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成本监审范围为公共文化、交通、体育、医疗、教育等公共设施配套和具有垄断经营特征、政府投资建设（设立）的停车场（库、泊位）。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别</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监审项目</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监审形式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危险废物处置成本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生活垃圾处理成本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污水处理成本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育</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公办高校学历教育培养成本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公办中等职业学校、公办普通高中学历教育培养成本，公办幼儿园教育培养成本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非营利性民办中小学教育培养成本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列入中小学用书目录的教科书和列入评议公告目录的中小学教辅材料印张成本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101"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公办养老机构床位和护理服务成本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别</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监审项目</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监审形式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1" w:type="dxa"/>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殡葬服务</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殡葬基本服务及延伸服务成本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成本监审范围为遗体接送（含抬尸、消毒）、存放（含冷藏）、火化、骨灰寄存，遗体整容、遗体防腐、吊唁设施及设备租赁，城市公益性墓穴（位）和经营性公墓内的限价墓穴（位）。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有线电视入户工本材料成本、居民数字电视基本收视维护服务成本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利用公共资源建设的省级定价旅游景区基本游览服务成本及景区内交通运输服务成本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成本监审范围为秦始皇帝陵博物院、西安碑林博物院、乾陵景区、华山风景名胜区、法门寺文化景区、黄帝陵、大雁塔景区、汉阳陵博物馆、陕西牛背梁自然保护区基本游览服务成本及景区内交通运输服务成本。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利用公共资源建设的省级定价以外的旅游景区基本游览服务成本及景区内交通运输服务成本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定期监审或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号</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类</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别</w:t>
            </w:r>
          </w:p>
        </w:tc>
        <w:tc>
          <w:tcPr>
            <w:tcW w:w="3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监审项目</w:t>
            </w:r>
          </w:p>
        </w:tc>
        <w:tc>
          <w:tcPr>
            <w:tcW w:w="1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监审形式</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监审部门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黑体" w:hAnsi="宋体" w:eastAsia="黑体" w:cs="黑体"/>
                <w:i w:val="0"/>
                <w:iCs w:val="0"/>
                <w:color w:val="000000"/>
                <w:kern w:val="0"/>
                <w:sz w:val="22"/>
                <w:szCs w:val="22"/>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保障性住房及物业服务</w:t>
            </w: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保障性住房成本和公共租赁住房租赁成本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宋体" w:cs="Times New Roman"/>
                <w:i w:val="0"/>
                <w:iCs w:val="0"/>
                <w:color w:val="000000"/>
                <w:sz w:val="22"/>
                <w:szCs w:val="22"/>
                <w:u w:val="none"/>
              </w:rPr>
            </w:pPr>
          </w:p>
        </w:tc>
        <w:tc>
          <w:tcPr>
            <w:tcW w:w="39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成立业主大会之前的住宅小区（多层、高层）、保障性住房、房改房、老旧住宅的物业服务成本和交通工具停放服务成本</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制定价格前监审</w:t>
            </w:r>
          </w:p>
        </w:tc>
        <w:tc>
          <w:tcPr>
            <w:tcW w:w="2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设区市、县价格主管部门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2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r>
              <w:rPr>
                <w:rFonts w:hint="default" w:ascii="Times New Roman" w:hAnsi="Times New Roman" w:eastAsia="宋体" w:cs="Times New Roman"/>
                <w:i w:val="0"/>
                <w:iCs w:val="0"/>
                <w:color w:val="000000"/>
                <w:kern w:val="0"/>
                <w:sz w:val="24"/>
                <w:szCs w:val="24"/>
                <w:u w:val="none"/>
                <w:lang w:val="en-US" w:eastAsia="zh-CN" w:bidi="ar"/>
              </w:rPr>
              <w:t xml:space="preserve">1. </w:t>
            </w:r>
            <w:r>
              <w:rPr>
                <w:rFonts w:hint="eastAsia" w:ascii="宋体" w:hAnsi="宋体" w:eastAsia="宋体" w:cs="宋体"/>
                <w:i w:val="0"/>
                <w:iCs w:val="0"/>
                <w:color w:val="000000"/>
                <w:kern w:val="0"/>
                <w:sz w:val="24"/>
                <w:szCs w:val="24"/>
                <w:u w:val="none"/>
                <w:lang w:val="en-US" w:eastAsia="zh-CN" w:bidi="ar"/>
              </w:rPr>
              <w:t>列入本目录的监审项目，未经成本监审或成本调查的不得制定或调整价格。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2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各级价格主管部门成本调查监审机构负责本级价格主管部门定价权限范围内的成本监审具体任务，也可以接受上级价格主管部门委托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2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或下级价格主管部门申请对相关经营者成本实施成本监审。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2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3. </w:t>
            </w:r>
            <w:r>
              <w:rPr>
                <w:rFonts w:hint="eastAsia" w:ascii="宋体" w:hAnsi="宋体" w:eastAsia="宋体" w:cs="宋体"/>
                <w:i w:val="0"/>
                <w:iCs w:val="0"/>
                <w:color w:val="000000"/>
                <w:kern w:val="0"/>
                <w:sz w:val="24"/>
                <w:szCs w:val="24"/>
                <w:u w:val="none"/>
                <w:lang w:val="en-US" w:eastAsia="zh-CN" w:bidi="ar"/>
              </w:rPr>
              <w:t>省价格主管部门将根据定价目录修订情况和价格监管需要对监审项目适时进行调整。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920" w:type="dxa"/>
            <w:gridSpan w:val="6"/>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 xml:space="preserve">4. </w:t>
            </w:r>
            <w:r>
              <w:rPr>
                <w:rFonts w:hint="eastAsia" w:ascii="宋体" w:hAnsi="宋体" w:eastAsia="宋体" w:cs="宋体"/>
                <w:i w:val="0"/>
                <w:iCs w:val="0"/>
                <w:color w:val="000000"/>
                <w:kern w:val="0"/>
                <w:sz w:val="24"/>
                <w:szCs w:val="24"/>
                <w:u w:val="none"/>
                <w:lang w:val="en-US" w:eastAsia="zh-CN" w:bidi="ar"/>
              </w:rPr>
              <w:t>退出《陕西省定价目录》的定价项目相应的监审项目自动退出本目录，定价权限发生变化的定价项目，成本监审工作分工随之调整。</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00"/>
          <w:sz w:val="32"/>
          <w:szCs w:val="32"/>
          <w:lang w:val="en-US" w:eastAsia="zh-CN"/>
        </w:rPr>
      </w:pPr>
    </w:p>
    <w:sectPr>
      <w:headerReference r:id="rId3" w:type="default"/>
      <w:footerReference r:id="rId4" w:type="default"/>
      <w:pgSz w:w="16838" w:h="11906" w:orient="landscape"/>
      <w:pgMar w:top="1701" w:right="1701" w:bottom="1474" w:left="1417" w:header="851" w:footer="992" w:gutter="0"/>
      <w:paperSrc/>
      <w:pgNumType w:fmt="decimal" w:start="3"/>
      <w:cols w:space="720" w:num="1"/>
      <w:docGrid w:type="linesAndChars" w:linePitch="298" w:charSpace="-3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sz w:val="24"/>
        <w:lang w:eastAsia="zh-CN"/>
      </w:rPr>
    </w:pPr>
    <w:r>
      <w:rPr>
        <w:rFonts w:hint="eastAsia" w:ascii="宋体" w:hAnsi="宋体" w:eastAsia="宋体"/>
        <w:sz w:val="24"/>
        <w:lang w:eastAsia="zh-CN"/>
      </w:rPr>
      <w:t xml:space="preserve">- </w:t>
    </w:r>
    <w:r>
      <w:rPr>
        <w:rFonts w:hint="eastAsia" w:ascii="宋体" w:hAnsi="宋体" w:eastAsia="宋体"/>
        <w:sz w:val="24"/>
        <w:lang w:eastAsia="zh-CN"/>
      </w:rPr>
      <w:fldChar w:fldCharType="begin"/>
    </w:r>
    <w:r>
      <w:rPr>
        <w:rFonts w:hint="eastAsia" w:ascii="宋体" w:hAnsi="宋体" w:eastAsia="宋体"/>
        <w:sz w:val="24"/>
        <w:lang w:eastAsia="zh-CN"/>
      </w:rPr>
      <w:instrText xml:space="preserve"> PAGE  \* MERGEFORMAT </w:instrText>
    </w:r>
    <w:r>
      <w:rPr>
        <w:rFonts w:hint="eastAsia" w:ascii="宋体" w:hAnsi="宋体" w:eastAsia="宋体"/>
        <w:sz w:val="24"/>
        <w:lang w:eastAsia="zh-CN"/>
      </w:rPr>
      <w:fldChar w:fldCharType="separate"/>
    </w:r>
    <w:r>
      <w:t>1</w:t>
    </w:r>
    <w:r>
      <w:rPr>
        <w:rFonts w:hint="eastAsia" w:ascii="宋体" w:hAnsi="宋体" w:eastAsia="宋体"/>
        <w:sz w:val="24"/>
        <w:lang w:eastAsia="zh-CN"/>
      </w:rPr>
      <w:fldChar w:fldCharType="end"/>
    </w:r>
    <w:r>
      <w:rPr>
        <w:rFonts w:hint="eastAsia" w:ascii="宋体" w:hAnsi="宋体" w:eastAsia="宋体"/>
        <w:sz w:val="2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14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jQ1OGE3YjRmN2YwZGRlZjA5ZWU2Mzc0OWQ3MzAifQ=="/>
  </w:docVars>
  <w:rsids>
    <w:rsidRoot w:val="00172A27"/>
    <w:rsid w:val="66E45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link w:val="21"/>
    <w:uiPriority w:val="0"/>
    <w:pPr>
      <w:tabs>
        <w:tab w:val="center" w:pos="4153"/>
        <w:tab w:val="right" w:pos="8306"/>
      </w:tabs>
      <w:snapToGrid w:val="0"/>
      <w:jc w:val="left"/>
    </w:pPr>
    <w:rPr>
      <w:kern w:val="2"/>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kern w:val="2"/>
      <w:sz w:val="18"/>
      <w:szCs w:val="18"/>
    </w:rPr>
  </w:style>
  <w:style w:type="character" w:styleId="8">
    <w:name w:val="Strong"/>
    <w:basedOn w:val="7"/>
    <w:uiPriority w:val="0"/>
    <w:rPr>
      <w:b/>
    </w:rPr>
  </w:style>
  <w:style w:type="character" w:styleId="9">
    <w:name w:val="page number"/>
    <w:basedOn w:val="7"/>
    <w:uiPriority w:val="0"/>
  </w:style>
  <w:style w:type="character" w:customStyle="1" w:styleId="10">
    <w:name w:val="页眉 Char"/>
    <w:basedOn w:val="7"/>
    <w:link w:val="5"/>
    <w:uiPriority w:val="0"/>
    <w:rPr>
      <w:kern w:val="2"/>
      <w:sz w:val="18"/>
      <w:szCs w:val="18"/>
    </w:rPr>
  </w:style>
  <w:style w:type="character" w:customStyle="1" w:styleId="11">
    <w:name w:val="f14b"/>
    <w:basedOn w:val="7"/>
    <w:uiPriority w:val="0"/>
  </w:style>
  <w:style w:type="character" w:customStyle="1" w:styleId="12">
    <w:name w:val="无间隔 Char"/>
    <w:basedOn w:val="7"/>
    <w:link w:val="13"/>
    <w:uiPriority w:val="0"/>
    <w:rPr>
      <w:rFonts w:ascii="Calibri" w:hAnsi="Calibri"/>
      <w:sz w:val="22"/>
      <w:szCs w:val="22"/>
      <w:lang w:val="en-US" w:eastAsia="zh-CN" w:bidi="ar-SA"/>
    </w:rPr>
  </w:style>
  <w:style w:type="paragraph" w:styleId="13">
    <w:name w:val="No Spacing"/>
    <w:link w:val="12"/>
    <w:uiPriority w:val="0"/>
    <w:rPr>
      <w:rFonts w:ascii="Calibri" w:hAnsi="Calibri"/>
      <w:sz w:val="22"/>
      <w:szCs w:val="22"/>
      <w:lang w:val="en-US" w:eastAsia="zh-CN" w:bidi="ar-SA"/>
    </w:rPr>
  </w:style>
  <w:style w:type="character" w:customStyle="1" w:styleId="14">
    <w:name w:val="font101"/>
    <w:basedOn w:val="7"/>
    <w:uiPriority w:val="0"/>
    <w:rPr>
      <w:rFonts w:ascii="黑体" w:hAnsi="宋体" w:eastAsia="黑体" w:cs="黑体"/>
      <w:color w:val="000000"/>
      <w:sz w:val="32"/>
      <w:szCs w:val="32"/>
      <w:u w:val="none"/>
    </w:rPr>
  </w:style>
  <w:style w:type="character" w:customStyle="1" w:styleId="15">
    <w:name w:val="font01"/>
    <w:basedOn w:val="7"/>
    <w:uiPriority w:val="0"/>
    <w:rPr>
      <w:rFonts w:hint="default" w:ascii="Times New Roman" w:hAnsi="Times New Roman" w:cs="Times New Roman"/>
      <w:color w:val="000000"/>
      <w:sz w:val="32"/>
      <w:szCs w:val="32"/>
      <w:u w:val="none"/>
    </w:rPr>
  </w:style>
  <w:style w:type="character" w:customStyle="1" w:styleId="16">
    <w:name w:val="font21"/>
    <w:basedOn w:val="7"/>
    <w:uiPriority w:val="0"/>
    <w:rPr>
      <w:rFonts w:hint="eastAsia" w:ascii="黑体" w:hAnsi="宋体" w:eastAsia="黑体" w:cs="黑体"/>
      <w:color w:val="000000"/>
      <w:sz w:val="22"/>
      <w:szCs w:val="22"/>
      <w:u w:val="none"/>
    </w:rPr>
  </w:style>
  <w:style w:type="character" w:customStyle="1" w:styleId="17">
    <w:name w:val="font61"/>
    <w:basedOn w:val="7"/>
    <w:uiPriority w:val="0"/>
    <w:rPr>
      <w:rFonts w:hint="default" w:ascii="Times New Roman" w:hAnsi="Times New Roman" w:cs="Times New Roman"/>
      <w:color w:val="000000"/>
      <w:sz w:val="22"/>
      <w:szCs w:val="22"/>
      <w:u w:val="none"/>
    </w:rPr>
  </w:style>
  <w:style w:type="character" w:customStyle="1" w:styleId="18">
    <w:name w:val="font81"/>
    <w:basedOn w:val="7"/>
    <w:uiPriority w:val="0"/>
    <w:rPr>
      <w:rFonts w:hint="eastAsia" w:ascii="宋体" w:hAnsi="宋体" w:eastAsia="宋体" w:cs="宋体"/>
      <w:color w:val="000000"/>
      <w:sz w:val="22"/>
      <w:szCs w:val="22"/>
      <w:u w:val="none"/>
    </w:rPr>
  </w:style>
  <w:style w:type="character" w:customStyle="1" w:styleId="19">
    <w:name w:val="font31"/>
    <w:basedOn w:val="7"/>
    <w:uiPriority w:val="0"/>
    <w:rPr>
      <w:rFonts w:hint="default" w:ascii="Times New Roman" w:hAnsi="Times New Roman" w:cs="Times New Roman"/>
      <w:color w:val="000000"/>
      <w:sz w:val="24"/>
      <w:szCs w:val="24"/>
      <w:u w:val="none"/>
    </w:rPr>
  </w:style>
  <w:style w:type="character" w:customStyle="1" w:styleId="20">
    <w:name w:val="font11"/>
    <w:basedOn w:val="7"/>
    <w:uiPriority w:val="0"/>
    <w:rPr>
      <w:rFonts w:hint="eastAsia" w:ascii="宋体" w:hAnsi="宋体" w:eastAsia="宋体" w:cs="宋体"/>
      <w:color w:val="000000"/>
      <w:sz w:val="24"/>
      <w:szCs w:val="24"/>
      <w:u w:val="none"/>
    </w:rPr>
  </w:style>
  <w:style w:type="character" w:customStyle="1" w:styleId="21">
    <w:name w:val="页脚 Char"/>
    <w:basedOn w:val="7"/>
    <w:link w:val="4"/>
    <w:uiPriority w:val="0"/>
    <w:rPr>
      <w:kern w:val="2"/>
      <w:sz w:val="18"/>
      <w:szCs w:val="18"/>
    </w:rPr>
  </w:style>
  <w:style w:type="paragraph" w:customStyle="1" w:styleId="22">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1835</Words>
  <Characters>1842</Characters>
  <Lines>10</Lines>
  <Paragraphs>3</Paragraphs>
  <TotalTime>2</TotalTime>
  <ScaleCrop>false</ScaleCrop>
  <LinksUpToDate>false</LinksUpToDate>
  <CharactersWithSpaces>1910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2013-09-04T22:14:00Z</dcterms:created>
  <dc:creator>微软用户</dc:creator>
  <cp:lastModifiedBy>admin</cp:lastModifiedBy>
  <cp:lastPrinted>2022-11-21T03:06:30Z</cp:lastPrinted>
  <dcterms:modified xsi:type="dcterms:W3CDTF">2023-01-04T06:09:07Z</dcterms:modified>
  <dc:title>关于委托华阴物价局对华山风景名胜区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198EBE3097D14D2DA2955B897FC0FC3A</vt:lpwstr>
  </property>
</Properties>
</file>