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872" w:beforeLines="600" w:after="312" w:afterLines="100"/>
        <w:ind w:firstLine="0" w:firstLineChars="0"/>
        <w:jc w:val="center"/>
        <w:rPr>
          <w:rFonts w:hint="eastAsia" w:ascii="方正小标宋简体" w:hAnsi="宋体" w:eastAsia="方正小标宋简体"/>
          <w:color w:val="auto"/>
          <w:sz w:val="56"/>
          <w:szCs w:val="56"/>
        </w:rPr>
      </w:pPr>
      <w:r>
        <w:rPr>
          <w:rFonts w:hint="eastAsia" w:ascii="方正小标宋简体" w:hAnsi="宋体" w:eastAsia="方正小标宋简体"/>
          <w:color w:val="auto"/>
          <w:sz w:val="56"/>
          <w:szCs w:val="56"/>
        </w:rPr>
        <w:t>“十三五”陕南绿色循环发展规划</w:t>
      </w:r>
    </w:p>
    <w:p>
      <w:pPr>
        <w:spacing w:before="624" w:beforeLines="200" w:after="312" w:afterLines="100"/>
        <w:ind w:firstLine="0" w:firstLineChars="0"/>
        <w:jc w:val="center"/>
        <w:rPr>
          <w:rFonts w:hint="eastAsia" w:ascii="方正宋黑简体" w:eastAsia="方正宋黑简体"/>
          <w:color w:val="auto"/>
          <w:sz w:val="44"/>
          <w:szCs w:val="44"/>
          <w:lang w:val="en-US" w:eastAsia="zh-CN"/>
        </w:rPr>
      </w:pPr>
      <w:r>
        <w:rPr>
          <w:rFonts w:hint="eastAsia" w:ascii="方正宋黑简体" w:eastAsia="方正宋黑简体"/>
          <w:color w:val="auto"/>
          <w:sz w:val="44"/>
          <w:szCs w:val="44"/>
          <w:lang w:val="en-US" w:eastAsia="zh-CN"/>
        </w:rPr>
        <w:t xml:space="preserve">  </w:t>
      </w:r>
    </w:p>
    <w:p>
      <w:pPr>
        <w:pStyle w:val="9"/>
        <w:ind w:firstLine="560"/>
        <w:jc w:val="center"/>
        <w:rPr>
          <w:rFonts w:hint="eastAsia" w:eastAsia="仿宋_GB2312"/>
          <w:color w:val="auto"/>
          <w:sz w:val="28"/>
          <w:szCs w:val="28"/>
        </w:rPr>
      </w:pPr>
    </w:p>
    <w:p>
      <w:pPr>
        <w:pStyle w:val="9"/>
        <w:ind w:firstLine="560"/>
        <w:jc w:val="center"/>
        <w:rPr>
          <w:rFonts w:hint="eastAsia" w:eastAsia="仿宋_GB2312"/>
          <w:color w:val="auto"/>
          <w:sz w:val="28"/>
          <w:szCs w:val="28"/>
        </w:rPr>
      </w:pPr>
    </w:p>
    <w:p>
      <w:pPr>
        <w:pStyle w:val="9"/>
        <w:ind w:firstLine="560"/>
        <w:jc w:val="center"/>
        <w:rPr>
          <w:rFonts w:hint="eastAsia" w:eastAsia="仿宋_GB2312"/>
          <w:color w:val="auto"/>
          <w:sz w:val="28"/>
          <w:szCs w:val="28"/>
        </w:rPr>
      </w:pPr>
    </w:p>
    <w:p>
      <w:pPr>
        <w:pStyle w:val="9"/>
        <w:ind w:firstLine="560"/>
        <w:jc w:val="center"/>
        <w:rPr>
          <w:rFonts w:hint="eastAsia" w:eastAsia="仿宋_GB2312"/>
          <w:color w:val="auto"/>
          <w:sz w:val="28"/>
          <w:szCs w:val="28"/>
        </w:rPr>
      </w:pPr>
    </w:p>
    <w:p>
      <w:pPr>
        <w:pStyle w:val="9"/>
        <w:ind w:firstLine="560"/>
        <w:jc w:val="center"/>
        <w:rPr>
          <w:rFonts w:hint="eastAsia" w:eastAsia="仿宋_GB2312"/>
          <w:color w:val="auto"/>
          <w:sz w:val="28"/>
          <w:szCs w:val="28"/>
        </w:rPr>
      </w:pPr>
    </w:p>
    <w:p>
      <w:pPr>
        <w:pStyle w:val="9"/>
        <w:ind w:firstLine="560"/>
        <w:jc w:val="center"/>
        <w:rPr>
          <w:rFonts w:hint="eastAsia" w:eastAsia="仿宋_GB2312"/>
          <w:color w:val="auto"/>
          <w:sz w:val="28"/>
          <w:szCs w:val="28"/>
        </w:rPr>
      </w:pPr>
    </w:p>
    <w:p>
      <w:pPr>
        <w:pStyle w:val="9"/>
        <w:ind w:firstLine="560"/>
        <w:jc w:val="center"/>
        <w:rPr>
          <w:rFonts w:hint="eastAsia" w:eastAsia="仿宋_GB2312"/>
          <w:color w:val="auto"/>
          <w:sz w:val="28"/>
          <w:szCs w:val="28"/>
        </w:rPr>
      </w:pPr>
    </w:p>
    <w:p>
      <w:pPr>
        <w:pStyle w:val="9"/>
        <w:ind w:firstLine="560"/>
        <w:jc w:val="center"/>
        <w:rPr>
          <w:rFonts w:hint="eastAsia" w:ascii="宋体" w:hAnsi="宋体"/>
          <w:color w:val="auto"/>
          <w:sz w:val="28"/>
          <w:szCs w:val="28"/>
        </w:rPr>
      </w:pPr>
    </w:p>
    <w:p>
      <w:pPr>
        <w:pStyle w:val="9"/>
        <w:ind w:firstLine="560"/>
        <w:jc w:val="center"/>
        <w:rPr>
          <w:rFonts w:hint="eastAsia" w:ascii="宋体" w:hAnsi="宋体"/>
          <w:color w:val="auto"/>
          <w:sz w:val="28"/>
          <w:szCs w:val="28"/>
        </w:rPr>
      </w:pPr>
    </w:p>
    <w:p>
      <w:pPr>
        <w:pStyle w:val="9"/>
        <w:spacing w:before="624" w:beforeLines="200"/>
        <w:ind w:firstLine="0" w:firstLineChars="0"/>
        <w:jc w:val="center"/>
        <w:rPr>
          <w:rFonts w:hint="eastAsia" w:ascii="方正宋黑简体" w:hAnsi="宋体" w:eastAsia="方正宋黑简体" w:cs="宋体"/>
          <w:color w:val="auto"/>
          <w:kern w:val="0"/>
          <w:sz w:val="36"/>
          <w:szCs w:val="36"/>
        </w:rPr>
      </w:pPr>
      <w:r>
        <w:rPr>
          <w:rFonts w:hint="eastAsia" w:ascii="方正宋黑简体" w:hAnsi="宋体" w:eastAsia="方正宋黑简体" w:cs="宋体"/>
          <w:color w:val="auto"/>
          <w:kern w:val="0"/>
          <w:sz w:val="36"/>
          <w:szCs w:val="36"/>
        </w:rPr>
        <w:t>陕西省发展和改革委员会</w:t>
      </w:r>
    </w:p>
    <w:p>
      <w:pPr>
        <w:pStyle w:val="9"/>
        <w:spacing w:before="156" w:beforeLines="50"/>
        <w:ind w:firstLine="0" w:firstLineChars="0"/>
        <w:jc w:val="center"/>
        <w:rPr>
          <w:rFonts w:hint="eastAsia" w:ascii="方正宋黑简体" w:hAnsi="宋体" w:eastAsia="方正宋黑简体" w:cs="宋体"/>
          <w:color w:val="auto"/>
          <w:kern w:val="0"/>
          <w:sz w:val="36"/>
          <w:szCs w:val="36"/>
        </w:rPr>
      </w:pPr>
      <w:r>
        <w:rPr>
          <w:rFonts w:hint="eastAsia" w:ascii="方正宋黑简体" w:hAnsi="宋体" w:eastAsia="方正宋黑简体" w:cs="宋体"/>
          <w:color w:val="auto"/>
          <w:kern w:val="0"/>
          <w:sz w:val="36"/>
          <w:szCs w:val="36"/>
        </w:rPr>
        <w:t>二</w:t>
      </w:r>
      <w:r>
        <w:rPr>
          <w:rFonts w:hint="eastAsia" w:ascii="宋体" w:hAnsi="宋体" w:eastAsia="宋体" w:cs="宋体"/>
          <w:color w:val="auto"/>
          <w:kern w:val="0"/>
          <w:sz w:val="36"/>
          <w:szCs w:val="36"/>
        </w:rPr>
        <w:t>〇</w:t>
      </w:r>
      <w:r>
        <w:rPr>
          <w:rFonts w:hint="eastAsia" w:ascii="方正宋黑简体" w:hAnsi="宋体" w:eastAsia="方正宋黑简体" w:cs="宋体"/>
          <w:color w:val="auto"/>
          <w:kern w:val="0"/>
          <w:sz w:val="36"/>
          <w:szCs w:val="36"/>
        </w:rPr>
        <w:t>一六年</w:t>
      </w:r>
      <w:r>
        <w:rPr>
          <w:rFonts w:hint="eastAsia" w:ascii="方正宋黑简体" w:hAnsi="宋体" w:eastAsia="方正宋黑简体" w:cs="宋体"/>
          <w:color w:val="auto"/>
          <w:kern w:val="0"/>
          <w:sz w:val="36"/>
          <w:szCs w:val="36"/>
          <w:lang w:eastAsia="zh-CN"/>
        </w:rPr>
        <w:t>九</w:t>
      </w:r>
      <w:r>
        <w:rPr>
          <w:rFonts w:hint="eastAsia" w:ascii="方正宋黑简体" w:hAnsi="宋体" w:eastAsia="方正宋黑简体" w:cs="宋体"/>
          <w:color w:val="auto"/>
          <w:kern w:val="0"/>
          <w:sz w:val="36"/>
          <w:szCs w:val="36"/>
        </w:rPr>
        <w:t>月</w:t>
      </w:r>
    </w:p>
    <w:p>
      <w:pPr>
        <w:pStyle w:val="9"/>
        <w:spacing w:before="468" w:beforeLines="150" w:after="468" w:afterLines="150"/>
        <w:ind w:firstLine="0" w:firstLineChars="0"/>
        <w:jc w:val="center"/>
        <w:rPr>
          <w:rFonts w:hint="eastAsia" w:ascii="楷体_GB2312" w:hAnsi="宋体" w:eastAsia="楷体_GB2312" w:cs="宋体"/>
          <w:color w:val="auto"/>
          <w:kern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701" w:right="1588" w:bottom="1588" w:left="1701" w:header="1077" w:footer="1077" w:gutter="0"/>
          <w:pgNumType w:fmt="numberInDash" w:start="1"/>
          <w:cols w:space="720" w:num="1"/>
          <w:docGrid w:type="linesAndChars" w:linePitch="312" w:charSpace="0"/>
        </w:sectPr>
      </w:pPr>
    </w:p>
    <w:p>
      <w:pPr>
        <w:pStyle w:val="9"/>
        <w:ind w:firstLine="0" w:firstLineChars="0"/>
        <w:jc w:val="center"/>
        <w:rPr>
          <w:rFonts w:hint="eastAsia" w:ascii="方正大标宋简体" w:hAnsi="宋体" w:eastAsia="方正大标宋简体" w:cs="宋体"/>
          <w:color w:val="auto"/>
          <w:kern w:val="0"/>
          <w:sz w:val="44"/>
          <w:szCs w:val="44"/>
        </w:rPr>
      </w:pPr>
    </w:p>
    <w:p>
      <w:pPr>
        <w:pStyle w:val="9"/>
        <w:ind w:firstLine="0" w:firstLineChars="0"/>
        <w:jc w:val="center"/>
        <w:rPr>
          <w:rFonts w:hint="eastAsia" w:ascii="方正大标宋简体" w:hAnsi="宋体" w:eastAsia="方正大标宋简体" w:cs="宋体"/>
          <w:color w:val="auto"/>
          <w:kern w:val="0"/>
          <w:sz w:val="44"/>
          <w:szCs w:val="44"/>
        </w:rPr>
      </w:pPr>
      <w:r>
        <w:rPr>
          <w:rFonts w:hint="eastAsia" w:ascii="方正大标宋简体" w:hAnsi="宋体" w:eastAsia="方正大标宋简体" w:cs="宋体"/>
          <w:color w:val="auto"/>
          <w:kern w:val="0"/>
          <w:sz w:val="44"/>
          <w:szCs w:val="44"/>
        </w:rPr>
        <w:t>目  录</w:t>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TOC \o "1-3" \h \z \u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_Toc29012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前  言</w:t>
      </w:r>
      <w:r>
        <w:rPr>
          <w:rFonts w:hint="eastAsia" w:ascii="方正大标宋简体" w:hAnsi="方正大标宋简体" w:eastAsia="方正大标宋简体" w:cs="方正大标宋简体"/>
          <w:b/>
          <w:bCs w:val="0"/>
          <w:caps w:val="0"/>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_Toc165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第一章  发展基础</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_Toc165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1</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_Toc17269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第一节  主要成效</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_Toc17269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1</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_Toc487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第二节  存在问题</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_Toc487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4</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_Toc26203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第三节  发展机遇</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_Toc26203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5</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_Toc31828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第二章  总体思路</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_Toc31828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7</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_Toc18521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第一节  指导思想</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_Toc18521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7</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_Toc29355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第二节  基本原则</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_Toc29355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8</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_Toc24584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第三节  战略定位</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_Toc24584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9</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_Toc19624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第四节  发展目标</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_Toc19624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11</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_Toc15249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第五节  空间布局</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_Toc15249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16</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_Toc6061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第三章  全面深化改革，实现创新发展</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_Toc6061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22</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_Toc29505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第一节  深化重点领域改革</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_Toc29505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22</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_Toc4476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第二节  实施创新驱动战略</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_Toc4476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23</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_Toc25047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第三节  推进“互联网+”行动计划</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_Toc25047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24</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_Toc30162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第四章  壮大循环经济，实现协调发展</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_Toc30162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25</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_Toc22572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第一节  高效发展生态农业</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_Toc22572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26</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_Toc3568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第二节  转型发展循环工业</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_Toc3568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28</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_Toc28446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 xml:space="preserve">第三节  </w:t>
      </w:r>
      <w:r>
        <w:rPr>
          <w:rFonts w:hint="eastAsia" w:ascii="仿宋" w:hAnsi="仿宋" w:eastAsia="仿宋" w:cs="仿宋"/>
          <w:b w:val="0"/>
          <w:bCs w:val="0"/>
          <w:caps/>
          <w:color w:val="auto"/>
          <w:sz w:val="32"/>
          <w:szCs w:val="32"/>
          <w:lang w:val="en-US" w:eastAsia="zh-CN"/>
        </w:rPr>
        <w:t>提升</w:t>
      </w:r>
      <w:r>
        <w:rPr>
          <w:rFonts w:hint="eastAsia" w:ascii="仿宋" w:hAnsi="仿宋" w:eastAsia="仿宋" w:cs="仿宋"/>
          <w:b w:val="0"/>
          <w:bCs w:val="0"/>
          <w:caps/>
          <w:color w:val="auto"/>
          <w:sz w:val="32"/>
          <w:szCs w:val="32"/>
        </w:rPr>
        <w:t>发展</w:t>
      </w:r>
      <w:r>
        <w:rPr>
          <w:rFonts w:hint="eastAsia" w:ascii="仿宋" w:hAnsi="仿宋" w:eastAsia="仿宋" w:cs="仿宋"/>
          <w:b w:val="0"/>
          <w:bCs w:val="0"/>
          <w:caps/>
          <w:color w:val="auto"/>
          <w:sz w:val="32"/>
          <w:szCs w:val="32"/>
          <w:lang w:val="en-US" w:eastAsia="zh-CN"/>
        </w:rPr>
        <w:t>现代服务业</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_Toc28446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32</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_Toc14673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第五章  加强生态建设，实现绿色发展</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_Toc14673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36</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_Toc29169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第一节  建设主体功能区</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_Toc29169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36</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_Toc8474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第二节  构筑陕南生态安全屏障</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_Toc8474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37</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_Toc27766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第三节  强化环境综合治理</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_Toc27766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38</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_Toc5130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第四节  实施节能环保绿色行动</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_Toc5130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40</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_Toc961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第六章  促进区域协作，实现开放发展</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_Toc961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41</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_Toc14072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第一节  扩大区域协作</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_Toc14072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41</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_Toc13617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第二节  促进省际边界县开放合作</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_Toc13617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42</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_Toc22042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第三节  构建互联互通综合保障体系</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_Toc22042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44</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_Toc14103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第七章  增进民生福祉，实现共享发展</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_Toc14103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47</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_Toc17833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第一节  打赢脱贫攻坚战</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_Toc17833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48</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_Toc20292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第二节  加快</w:t>
      </w:r>
      <w:r>
        <w:rPr>
          <w:rFonts w:hint="eastAsia" w:ascii="仿宋" w:hAnsi="仿宋" w:eastAsia="仿宋" w:cs="仿宋"/>
          <w:b w:val="0"/>
          <w:bCs w:val="0"/>
          <w:caps/>
          <w:color w:val="auto"/>
          <w:sz w:val="32"/>
          <w:szCs w:val="32"/>
          <w:lang w:eastAsia="zh-CN"/>
        </w:rPr>
        <w:t>推进</w:t>
      </w:r>
      <w:r>
        <w:rPr>
          <w:rFonts w:hint="eastAsia" w:ascii="仿宋" w:hAnsi="仿宋" w:eastAsia="仿宋" w:cs="仿宋"/>
          <w:b w:val="0"/>
          <w:bCs w:val="0"/>
          <w:caps/>
          <w:color w:val="auto"/>
          <w:sz w:val="32"/>
          <w:szCs w:val="32"/>
          <w:lang w:val="en-US" w:eastAsia="zh-CN"/>
        </w:rPr>
        <w:t>新型</w:t>
      </w:r>
      <w:r>
        <w:rPr>
          <w:rFonts w:hint="eastAsia" w:ascii="仿宋" w:hAnsi="仿宋" w:eastAsia="仿宋" w:cs="仿宋"/>
          <w:b w:val="0"/>
          <w:bCs w:val="0"/>
          <w:caps/>
          <w:color w:val="auto"/>
          <w:sz w:val="32"/>
          <w:szCs w:val="32"/>
          <w:lang w:eastAsia="zh-CN"/>
        </w:rPr>
        <w:t>城镇化</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_Toc20292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51</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val="0"/>
          <w:caps/>
          <w:color w:val="auto"/>
          <w:sz w:val="32"/>
          <w:szCs w:val="32"/>
        </w:rPr>
      </w:pP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HYPERLINK \l _Toc29868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第三节  全面提升公共服务水平</w:t>
      </w:r>
      <w:r>
        <w:rPr>
          <w:rFonts w:hint="eastAsia" w:ascii="仿宋" w:hAnsi="仿宋" w:eastAsia="仿宋" w:cs="仿宋"/>
          <w:b w:val="0"/>
          <w:bCs w:val="0"/>
          <w:caps/>
          <w:color w:val="auto"/>
          <w:sz w:val="32"/>
          <w:szCs w:val="32"/>
        </w:rPr>
        <w:tab/>
      </w:r>
      <w:r>
        <w:rPr>
          <w:rFonts w:hint="eastAsia" w:ascii="仿宋" w:hAnsi="仿宋" w:eastAsia="仿宋" w:cs="仿宋"/>
          <w:b w:val="0"/>
          <w:bCs w:val="0"/>
          <w:caps/>
          <w:color w:val="auto"/>
          <w:sz w:val="32"/>
          <w:szCs w:val="32"/>
        </w:rPr>
        <w:fldChar w:fldCharType="begin"/>
      </w:r>
      <w:r>
        <w:rPr>
          <w:rFonts w:hint="eastAsia" w:ascii="仿宋" w:hAnsi="仿宋" w:eastAsia="仿宋" w:cs="仿宋"/>
          <w:b w:val="0"/>
          <w:bCs w:val="0"/>
          <w:caps/>
          <w:color w:val="auto"/>
          <w:sz w:val="32"/>
          <w:szCs w:val="32"/>
        </w:rPr>
        <w:instrText xml:space="preserve"> PAGEREF _Toc29868 </w:instrText>
      </w:r>
      <w:r>
        <w:rPr>
          <w:rFonts w:hint="eastAsia" w:ascii="仿宋" w:hAnsi="仿宋" w:eastAsia="仿宋" w:cs="仿宋"/>
          <w:b w:val="0"/>
          <w:bCs w:val="0"/>
          <w:caps/>
          <w:color w:val="auto"/>
          <w:sz w:val="32"/>
          <w:szCs w:val="32"/>
        </w:rPr>
        <w:fldChar w:fldCharType="separate"/>
      </w:r>
      <w:r>
        <w:rPr>
          <w:rFonts w:hint="eastAsia" w:ascii="仿宋" w:hAnsi="仿宋" w:eastAsia="仿宋" w:cs="仿宋"/>
          <w:b w:val="0"/>
          <w:bCs w:val="0"/>
          <w:caps/>
          <w:color w:val="auto"/>
          <w:sz w:val="32"/>
          <w:szCs w:val="32"/>
        </w:rPr>
        <w:t>54</w:t>
      </w:r>
      <w:r>
        <w:rPr>
          <w:rFonts w:hint="eastAsia" w:ascii="仿宋" w:hAnsi="仿宋" w:eastAsia="仿宋" w:cs="仿宋"/>
          <w:b w:val="0"/>
          <w:bCs w:val="0"/>
          <w:caps/>
          <w:color w:val="auto"/>
          <w:sz w:val="32"/>
          <w:szCs w:val="32"/>
        </w:rPr>
        <w:fldChar w:fldCharType="end"/>
      </w:r>
      <w:r>
        <w:rPr>
          <w:rFonts w:hint="eastAsia" w:ascii="仿宋" w:hAnsi="仿宋" w:eastAsia="仿宋" w:cs="仿宋"/>
          <w:b w:val="0"/>
          <w:bCs w:val="0"/>
          <w:caps/>
          <w:color w:val="auto"/>
          <w:sz w:val="32"/>
          <w:szCs w:val="32"/>
        </w:rPr>
        <w:fldChar w:fldCharType="end"/>
      </w:r>
    </w:p>
    <w:p>
      <w:pPr>
        <w:pStyle w:val="19"/>
        <w:keepNext w:val="0"/>
        <w:keepLines w:val="0"/>
        <w:pageBreakBefore w:val="0"/>
        <w:widowControl w:val="0"/>
        <w:tabs>
          <w:tab w:val="right" w:leader="dot" w:pos="8787"/>
          <w:tab w:val="clear" w:pos="8834"/>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大标宋简体" w:hAnsi="方正大标宋简体" w:eastAsia="方正大标宋简体" w:cs="方正大标宋简体"/>
          <w:color w:val="auto"/>
          <w:sz w:val="32"/>
          <w:szCs w:val="32"/>
        </w:rPr>
      </w:pPr>
      <w:r>
        <w:rPr>
          <w:rFonts w:hint="eastAsia" w:ascii="方正大标宋简体" w:hAnsi="方正大标宋简体" w:eastAsia="方正大标宋简体" w:cs="方正大标宋简体"/>
          <w:b/>
          <w:bCs w:val="0"/>
          <w:caps w:val="0"/>
          <w:color w:val="auto"/>
          <w:sz w:val="32"/>
          <w:szCs w:val="32"/>
        </w:rPr>
        <w:fldChar w:fldCharType="begin"/>
      </w:r>
      <w:r>
        <w:rPr>
          <w:rFonts w:hint="eastAsia" w:ascii="方正大标宋简体" w:hAnsi="方正大标宋简体" w:eastAsia="方正大标宋简体" w:cs="方正大标宋简体"/>
          <w:b/>
          <w:bCs w:val="0"/>
          <w:caps w:val="0"/>
          <w:color w:val="auto"/>
          <w:sz w:val="32"/>
          <w:szCs w:val="32"/>
        </w:rPr>
        <w:instrText xml:space="preserve"> HYPERLINK \l _Toc22333 </w:instrText>
      </w:r>
      <w:r>
        <w:rPr>
          <w:rFonts w:hint="eastAsia" w:ascii="方正大标宋简体" w:hAnsi="方正大标宋简体" w:eastAsia="方正大标宋简体" w:cs="方正大标宋简体"/>
          <w:b/>
          <w:bCs w:val="0"/>
          <w:caps w:val="0"/>
          <w:color w:val="auto"/>
          <w:sz w:val="32"/>
          <w:szCs w:val="32"/>
        </w:rPr>
        <w:fldChar w:fldCharType="separate"/>
      </w:r>
      <w:r>
        <w:rPr>
          <w:rFonts w:hint="eastAsia" w:ascii="方正大标宋简体" w:hAnsi="方正大标宋简体" w:eastAsia="方正大标宋简体" w:cs="方正大标宋简体"/>
          <w:color w:val="auto"/>
          <w:sz w:val="32"/>
          <w:szCs w:val="32"/>
        </w:rPr>
        <w:t>第八章  保障措施</w:t>
      </w:r>
      <w:r>
        <w:rPr>
          <w:rFonts w:hint="eastAsia" w:ascii="方正大标宋简体" w:hAnsi="方正大标宋简体" w:eastAsia="方正大标宋简体" w:cs="方正大标宋简体"/>
          <w:color w:val="auto"/>
          <w:sz w:val="32"/>
          <w:szCs w:val="32"/>
        </w:rPr>
        <w:tab/>
      </w:r>
      <w:r>
        <w:rPr>
          <w:rFonts w:hint="eastAsia" w:ascii="方正大标宋简体" w:hAnsi="方正大标宋简体" w:eastAsia="方正大标宋简体" w:cs="方正大标宋简体"/>
          <w:color w:val="auto"/>
          <w:sz w:val="32"/>
          <w:szCs w:val="32"/>
        </w:rPr>
        <w:fldChar w:fldCharType="begin"/>
      </w:r>
      <w:r>
        <w:rPr>
          <w:rFonts w:hint="eastAsia" w:ascii="方正大标宋简体" w:hAnsi="方正大标宋简体" w:eastAsia="方正大标宋简体" w:cs="方正大标宋简体"/>
          <w:color w:val="auto"/>
          <w:sz w:val="32"/>
          <w:szCs w:val="32"/>
        </w:rPr>
        <w:instrText xml:space="preserve"> PAGEREF _Toc22333 </w:instrText>
      </w:r>
      <w:r>
        <w:rPr>
          <w:rFonts w:hint="eastAsia" w:ascii="方正大标宋简体" w:hAnsi="方正大标宋简体" w:eastAsia="方正大标宋简体" w:cs="方正大标宋简体"/>
          <w:color w:val="auto"/>
          <w:sz w:val="32"/>
          <w:szCs w:val="32"/>
        </w:rPr>
        <w:fldChar w:fldCharType="separate"/>
      </w:r>
      <w:r>
        <w:rPr>
          <w:rFonts w:hint="eastAsia" w:ascii="方正大标宋简体" w:hAnsi="方正大标宋简体" w:eastAsia="方正大标宋简体" w:cs="方正大标宋简体"/>
          <w:color w:val="auto"/>
          <w:sz w:val="32"/>
          <w:szCs w:val="32"/>
        </w:rPr>
        <w:t>58</w:t>
      </w:r>
      <w:r>
        <w:rPr>
          <w:rFonts w:hint="eastAsia" w:ascii="方正大标宋简体" w:hAnsi="方正大标宋简体" w:eastAsia="方正大标宋简体" w:cs="方正大标宋简体"/>
          <w:color w:val="auto"/>
          <w:sz w:val="32"/>
          <w:szCs w:val="32"/>
        </w:rPr>
        <w:fldChar w:fldCharType="end"/>
      </w:r>
      <w:r>
        <w:rPr>
          <w:rFonts w:hint="eastAsia" w:ascii="方正大标宋简体" w:hAnsi="方正大标宋简体" w:eastAsia="方正大标宋简体" w:cs="方正大标宋简体"/>
          <w:b/>
          <w:bCs w:val="0"/>
          <w:caps w:val="0"/>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color w:val="auto"/>
          <w:sz w:val="32"/>
          <w:szCs w:val="32"/>
        </w:rPr>
      </w:pPr>
      <w:r>
        <w:rPr>
          <w:rFonts w:hint="eastAsia" w:ascii="仿宋" w:hAnsi="仿宋" w:eastAsia="仿宋" w:cs="仿宋"/>
          <w:b w:val="0"/>
          <w:bCs/>
          <w:caps/>
          <w:color w:val="auto"/>
          <w:sz w:val="32"/>
          <w:szCs w:val="32"/>
        </w:rPr>
        <w:fldChar w:fldCharType="begin"/>
      </w:r>
      <w:r>
        <w:rPr>
          <w:rFonts w:hint="eastAsia" w:ascii="仿宋" w:hAnsi="仿宋" w:eastAsia="仿宋" w:cs="仿宋"/>
          <w:b w:val="0"/>
          <w:bCs/>
          <w:caps/>
          <w:color w:val="auto"/>
          <w:sz w:val="32"/>
          <w:szCs w:val="32"/>
        </w:rPr>
        <w:instrText xml:space="preserve"> HYPERLINK \l _Toc10973 </w:instrText>
      </w:r>
      <w:r>
        <w:rPr>
          <w:rFonts w:hint="eastAsia" w:ascii="仿宋" w:hAnsi="仿宋" w:eastAsia="仿宋" w:cs="仿宋"/>
          <w:b w:val="0"/>
          <w:bCs/>
          <w:caps/>
          <w:color w:val="auto"/>
          <w:sz w:val="32"/>
          <w:szCs w:val="32"/>
        </w:rPr>
        <w:fldChar w:fldCharType="separate"/>
      </w:r>
      <w:r>
        <w:rPr>
          <w:rFonts w:hint="eastAsia" w:ascii="仿宋" w:hAnsi="仿宋" w:eastAsia="仿宋" w:cs="仿宋"/>
          <w:b w:val="0"/>
          <w:bCs/>
          <w:color w:val="auto"/>
          <w:sz w:val="32"/>
          <w:szCs w:val="32"/>
        </w:rPr>
        <w:t>第一节  政策保障</w:t>
      </w:r>
      <w:r>
        <w:rPr>
          <w:rFonts w:hint="eastAsia" w:ascii="仿宋" w:hAnsi="仿宋" w:eastAsia="仿宋" w:cs="仿宋"/>
          <w:b w:val="0"/>
          <w:bCs/>
          <w:color w:val="auto"/>
          <w:sz w:val="32"/>
          <w:szCs w:val="32"/>
        </w:rPr>
        <w:tab/>
      </w:r>
      <w:r>
        <w:rPr>
          <w:rFonts w:hint="eastAsia" w:ascii="仿宋" w:hAnsi="仿宋" w:eastAsia="仿宋" w:cs="仿宋"/>
          <w:b w:val="0"/>
          <w:bCs/>
          <w:color w:val="auto"/>
          <w:sz w:val="32"/>
          <w:szCs w:val="32"/>
        </w:rPr>
        <w:fldChar w:fldCharType="begin"/>
      </w:r>
      <w:r>
        <w:rPr>
          <w:rFonts w:hint="eastAsia" w:ascii="仿宋" w:hAnsi="仿宋" w:eastAsia="仿宋" w:cs="仿宋"/>
          <w:b w:val="0"/>
          <w:bCs/>
          <w:color w:val="auto"/>
          <w:sz w:val="32"/>
          <w:szCs w:val="32"/>
        </w:rPr>
        <w:instrText xml:space="preserve"> PAGEREF _Toc10973 </w:instrText>
      </w:r>
      <w:r>
        <w:rPr>
          <w:rFonts w:hint="eastAsia" w:ascii="仿宋" w:hAnsi="仿宋" w:eastAsia="仿宋" w:cs="仿宋"/>
          <w:b w:val="0"/>
          <w:bCs/>
          <w:color w:val="auto"/>
          <w:sz w:val="32"/>
          <w:szCs w:val="32"/>
        </w:rPr>
        <w:fldChar w:fldCharType="separate"/>
      </w:r>
      <w:r>
        <w:rPr>
          <w:rFonts w:hint="eastAsia" w:ascii="仿宋" w:hAnsi="仿宋" w:eastAsia="仿宋" w:cs="仿宋"/>
          <w:b w:val="0"/>
          <w:bCs/>
          <w:color w:val="auto"/>
          <w:sz w:val="32"/>
          <w:szCs w:val="32"/>
        </w:rPr>
        <w:t>58</w:t>
      </w:r>
      <w:r>
        <w:rPr>
          <w:rFonts w:hint="eastAsia" w:ascii="仿宋" w:hAnsi="仿宋" w:eastAsia="仿宋" w:cs="仿宋"/>
          <w:b w:val="0"/>
          <w:bCs/>
          <w:color w:val="auto"/>
          <w:sz w:val="32"/>
          <w:szCs w:val="32"/>
        </w:rPr>
        <w:fldChar w:fldCharType="end"/>
      </w:r>
      <w:r>
        <w:rPr>
          <w:rFonts w:hint="eastAsia" w:ascii="仿宋" w:hAnsi="仿宋" w:eastAsia="仿宋" w:cs="仿宋"/>
          <w:b w:val="0"/>
          <w:bCs/>
          <w:caps/>
          <w:color w:val="auto"/>
          <w:sz w:val="32"/>
          <w:szCs w:val="32"/>
        </w:rPr>
        <w:fldChar w:fldCharType="end"/>
      </w:r>
    </w:p>
    <w:p>
      <w:pPr>
        <w:pStyle w:val="22"/>
        <w:keepNext w:val="0"/>
        <w:keepLines w:val="0"/>
        <w:pageBreakBefore w:val="0"/>
        <w:widowControl w:val="0"/>
        <w:tabs>
          <w:tab w:val="right" w:leader="dot" w:pos="8787"/>
          <w:tab w:val="clear" w:pos="8777"/>
        </w:tabs>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 w:hAnsi="仿宋" w:eastAsia="仿宋" w:cs="仿宋"/>
          <w:b w:val="0"/>
          <w:bCs/>
          <w:caps/>
          <w:color w:val="auto"/>
          <w:sz w:val="32"/>
          <w:szCs w:val="32"/>
        </w:rPr>
      </w:pPr>
      <w:r>
        <w:rPr>
          <w:rFonts w:hint="eastAsia" w:ascii="仿宋" w:hAnsi="仿宋" w:eastAsia="仿宋" w:cs="仿宋"/>
          <w:b w:val="0"/>
          <w:bCs/>
          <w:caps/>
          <w:color w:val="auto"/>
          <w:sz w:val="32"/>
          <w:szCs w:val="32"/>
        </w:rPr>
        <w:fldChar w:fldCharType="begin"/>
      </w:r>
      <w:r>
        <w:rPr>
          <w:rFonts w:hint="eastAsia" w:ascii="仿宋" w:hAnsi="仿宋" w:eastAsia="仿宋" w:cs="仿宋"/>
          <w:b w:val="0"/>
          <w:bCs/>
          <w:caps/>
          <w:color w:val="auto"/>
          <w:sz w:val="32"/>
          <w:szCs w:val="32"/>
        </w:rPr>
        <w:instrText xml:space="preserve"> HYPERLINK \l _Toc8944 </w:instrText>
      </w:r>
      <w:r>
        <w:rPr>
          <w:rFonts w:hint="eastAsia" w:ascii="仿宋" w:hAnsi="仿宋" w:eastAsia="仿宋" w:cs="仿宋"/>
          <w:b w:val="0"/>
          <w:bCs/>
          <w:caps/>
          <w:color w:val="auto"/>
          <w:sz w:val="32"/>
          <w:szCs w:val="32"/>
        </w:rPr>
        <w:fldChar w:fldCharType="separate"/>
      </w:r>
      <w:r>
        <w:rPr>
          <w:rFonts w:hint="eastAsia" w:ascii="仿宋" w:hAnsi="仿宋" w:eastAsia="仿宋" w:cs="仿宋"/>
          <w:b w:val="0"/>
          <w:bCs/>
          <w:color w:val="auto"/>
          <w:sz w:val="32"/>
          <w:szCs w:val="32"/>
        </w:rPr>
        <w:t>第二节  组织保障</w:t>
      </w:r>
      <w:r>
        <w:rPr>
          <w:rFonts w:hint="eastAsia" w:ascii="仿宋" w:hAnsi="仿宋" w:eastAsia="仿宋" w:cs="仿宋"/>
          <w:b w:val="0"/>
          <w:bCs/>
          <w:color w:val="auto"/>
          <w:sz w:val="32"/>
          <w:szCs w:val="32"/>
        </w:rPr>
        <w:tab/>
      </w:r>
      <w:r>
        <w:rPr>
          <w:rFonts w:hint="eastAsia" w:ascii="仿宋" w:hAnsi="仿宋" w:eastAsia="仿宋" w:cs="仿宋"/>
          <w:b w:val="0"/>
          <w:bCs/>
          <w:color w:val="auto"/>
          <w:sz w:val="32"/>
          <w:szCs w:val="32"/>
        </w:rPr>
        <w:fldChar w:fldCharType="begin"/>
      </w:r>
      <w:r>
        <w:rPr>
          <w:rFonts w:hint="eastAsia" w:ascii="仿宋" w:hAnsi="仿宋" w:eastAsia="仿宋" w:cs="仿宋"/>
          <w:b w:val="0"/>
          <w:bCs/>
          <w:color w:val="auto"/>
          <w:sz w:val="32"/>
          <w:szCs w:val="32"/>
        </w:rPr>
        <w:instrText xml:space="preserve"> PAGEREF _Toc8944 </w:instrText>
      </w:r>
      <w:r>
        <w:rPr>
          <w:rFonts w:hint="eastAsia" w:ascii="仿宋" w:hAnsi="仿宋" w:eastAsia="仿宋" w:cs="仿宋"/>
          <w:b w:val="0"/>
          <w:bCs/>
          <w:color w:val="auto"/>
          <w:sz w:val="32"/>
          <w:szCs w:val="32"/>
        </w:rPr>
        <w:fldChar w:fldCharType="separate"/>
      </w:r>
      <w:r>
        <w:rPr>
          <w:rFonts w:hint="eastAsia" w:ascii="仿宋" w:hAnsi="仿宋" w:eastAsia="仿宋" w:cs="仿宋"/>
          <w:b w:val="0"/>
          <w:bCs/>
          <w:color w:val="auto"/>
          <w:sz w:val="32"/>
          <w:szCs w:val="32"/>
        </w:rPr>
        <w:t>61</w:t>
      </w:r>
      <w:r>
        <w:rPr>
          <w:rFonts w:hint="eastAsia" w:ascii="仿宋" w:hAnsi="仿宋" w:eastAsia="仿宋" w:cs="仿宋"/>
          <w:b w:val="0"/>
          <w:bCs/>
          <w:color w:val="auto"/>
          <w:sz w:val="32"/>
          <w:szCs w:val="32"/>
        </w:rPr>
        <w:fldChar w:fldCharType="end"/>
      </w:r>
      <w:r>
        <w:rPr>
          <w:rFonts w:hint="eastAsia" w:ascii="仿宋" w:hAnsi="仿宋" w:eastAsia="仿宋" w:cs="仿宋"/>
          <w:b w:val="0"/>
          <w:bCs/>
          <w:caps/>
          <w:color w:val="auto"/>
          <w:sz w:val="32"/>
          <w:szCs w:val="32"/>
        </w:rPr>
        <w:fldChar w:fldCharType="end"/>
      </w:r>
    </w:p>
    <w:p>
      <w:pPr>
        <w:rPr>
          <w:rFonts w:hint="eastAsia" w:ascii="仿宋" w:hAnsi="仿宋" w:eastAsia="仿宋" w:cs="仿宋"/>
          <w:b/>
          <w:bCs/>
          <w:caps/>
          <w:color w:val="auto"/>
          <w:sz w:val="32"/>
          <w:szCs w:val="32"/>
        </w:rPr>
      </w:pPr>
    </w:p>
    <w:p>
      <w:pPr>
        <w:ind w:left="0" w:leftChars="0" w:firstLine="0" w:firstLineChars="0"/>
        <w:jc w:val="left"/>
        <w:rPr>
          <w:rFonts w:hint="eastAsia" w:ascii="方正大标宋简体" w:hAnsi="方正大标宋简体" w:eastAsia="方正大标宋简体" w:cs="方正大标宋简体"/>
          <w:bCs/>
          <w:caps/>
          <w:color w:val="auto"/>
          <w:kern w:val="2"/>
          <w:sz w:val="32"/>
          <w:szCs w:val="32"/>
          <w:lang w:val="en-US" w:eastAsia="zh-CN" w:bidi="ar-SA"/>
        </w:rPr>
      </w:pPr>
      <w:r>
        <w:rPr>
          <w:rFonts w:hint="eastAsia" w:ascii="方正大标宋简体" w:hAnsi="方正大标宋简体" w:eastAsia="方正大标宋简体" w:cs="方正大标宋简体"/>
          <w:bCs/>
          <w:caps/>
          <w:color w:val="auto"/>
          <w:kern w:val="2"/>
          <w:sz w:val="32"/>
          <w:szCs w:val="32"/>
          <w:lang w:val="en-US" w:eastAsia="zh-CN" w:bidi="ar-SA"/>
        </w:rPr>
        <w:t>附件：</w:t>
      </w:r>
    </w:p>
    <w:p>
      <w:pPr>
        <w:rPr>
          <w:rFonts w:hint="eastAsia" w:ascii="仿宋" w:hAnsi="仿宋" w:cs="仿宋"/>
          <w:b w:val="0"/>
          <w:bCs w:val="0"/>
          <w:caps/>
          <w:color w:val="auto"/>
          <w:sz w:val="32"/>
          <w:szCs w:val="32"/>
          <w:lang w:eastAsia="zh-CN"/>
        </w:rPr>
      </w:pPr>
      <w:r>
        <w:rPr>
          <w:rFonts w:hint="eastAsia" w:ascii="仿宋" w:hAnsi="仿宋" w:cs="仿宋"/>
          <w:b w:val="0"/>
          <w:bCs w:val="0"/>
          <w:caps/>
          <w:color w:val="auto"/>
          <w:sz w:val="32"/>
          <w:szCs w:val="32"/>
          <w:lang w:eastAsia="zh-CN"/>
        </w:rPr>
        <w:t>陕南“十三五”绿色循环重大项目库</w:t>
      </w:r>
    </w:p>
    <w:p>
      <w:pPr>
        <w:ind w:firstLine="562"/>
        <w:rPr>
          <w:rFonts w:hint="eastAsia" w:ascii="仿宋_GB2312" w:hAnsi="宋体" w:eastAsia="仿宋_GB2312" w:cs="宋体"/>
          <w:color w:val="auto"/>
          <w:kern w:val="0"/>
          <w:sz w:val="28"/>
          <w:szCs w:val="28"/>
        </w:rPr>
        <w:sectPr>
          <w:footerReference r:id="rId11" w:type="default"/>
          <w:footerReference r:id="rId12" w:type="even"/>
          <w:pgSz w:w="11906" w:h="16838"/>
          <w:pgMar w:top="1701" w:right="1418" w:bottom="1418" w:left="1701" w:header="1134" w:footer="992" w:gutter="0"/>
          <w:pgNumType w:fmt="upperRoman" w:start="1"/>
          <w:cols w:space="720" w:num="1"/>
          <w:docGrid w:type="linesAndChars" w:linePitch="312" w:charSpace="0"/>
        </w:sectPr>
      </w:pPr>
      <w:r>
        <w:rPr>
          <w:rFonts w:hint="eastAsia" w:ascii="方正大标宋简体" w:hAnsi="方正大标宋简体" w:eastAsia="方正大标宋简体" w:cs="方正大标宋简体"/>
          <w:b/>
          <w:bCs/>
          <w:caps/>
          <w:color w:val="auto"/>
          <w:sz w:val="32"/>
          <w:szCs w:val="32"/>
        </w:rPr>
        <w:fldChar w:fldCharType="end"/>
      </w:r>
    </w:p>
    <w:p>
      <w:pPr>
        <w:pStyle w:val="2"/>
        <w:spacing w:before="312" w:beforeLines="100" w:after="780" w:afterLines="250" w:line="600" w:lineRule="exact"/>
        <w:jc w:val="center"/>
        <w:rPr>
          <w:rFonts w:hint="eastAsia" w:ascii="方正大标宋简体" w:hAnsi="宋体" w:eastAsia="方正大标宋简体"/>
          <w:color w:val="auto"/>
        </w:rPr>
      </w:pPr>
      <w:bookmarkStart w:id="0" w:name="_Toc29012"/>
      <w:bookmarkStart w:id="1" w:name="_Toc298228094"/>
      <w:bookmarkStart w:id="2" w:name="_Toc294170207"/>
      <w:bookmarkStart w:id="3" w:name="_Toc291765621"/>
      <w:bookmarkStart w:id="4" w:name="_Toc291627525"/>
      <w:bookmarkStart w:id="5" w:name="_Toc291764736"/>
      <w:bookmarkStart w:id="6" w:name="_Toc291766124"/>
      <w:bookmarkStart w:id="7" w:name="_Toc285444540"/>
      <w:bookmarkStart w:id="8" w:name="_Toc283579109"/>
      <w:bookmarkStart w:id="9" w:name="_Toc302262375"/>
      <w:bookmarkStart w:id="10" w:name="_Toc281291339"/>
      <w:bookmarkStart w:id="11" w:name="_Toc285439583"/>
      <w:bookmarkStart w:id="12" w:name="_Toc286050748"/>
      <w:bookmarkStart w:id="13" w:name="_Toc278215195"/>
      <w:bookmarkStart w:id="14" w:name="_Toc285438812"/>
      <w:bookmarkStart w:id="15" w:name="_Toc285438802"/>
      <w:bookmarkStart w:id="16" w:name="_Toc286964578"/>
      <w:bookmarkStart w:id="17" w:name="_Toc287511893"/>
      <w:bookmarkStart w:id="18" w:name="_Toc283579122"/>
      <w:bookmarkStart w:id="19" w:name="_Toc302263339"/>
      <w:bookmarkStart w:id="20" w:name="_Toc291764741"/>
      <w:bookmarkStart w:id="21" w:name="_Toc286964588"/>
      <w:bookmarkStart w:id="22" w:name="_Toc287547113"/>
      <w:bookmarkStart w:id="23" w:name="_Toc291766129"/>
      <w:bookmarkStart w:id="24" w:name="_Toc276716563"/>
      <w:bookmarkStart w:id="25" w:name="_Toc278215303"/>
      <w:bookmarkStart w:id="26" w:name="_Toc285444311"/>
      <w:bookmarkStart w:id="27" w:name="_Toc302263558"/>
      <w:bookmarkStart w:id="28" w:name="_Toc286971165"/>
      <w:bookmarkStart w:id="29" w:name="_Toc298228101"/>
      <w:bookmarkStart w:id="30" w:name="_Toc285981778"/>
      <w:bookmarkStart w:id="31" w:name="_Toc278215208"/>
      <w:bookmarkStart w:id="32" w:name="_Toc291627530"/>
      <w:bookmarkStart w:id="33" w:name="_Toc302263976"/>
      <w:bookmarkStart w:id="34" w:name="_Toc286971175"/>
      <w:bookmarkStart w:id="35" w:name="_Toc302263735"/>
      <w:bookmarkStart w:id="36" w:name="_Toc278215290"/>
      <w:bookmarkStart w:id="37" w:name="_Toc285439593"/>
      <w:bookmarkStart w:id="38" w:name="_Toc276716550"/>
      <w:bookmarkStart w:id="39" w:name="_Toc294170214"/>
      <w:bookmarkStart w:id="40" w:name="_Toc287547103"/>
      <w:bookmarkStart w:id="41" w:name="_Toc285444301"/>
      <w:bookmarkStart w:id="42" w:name="_Toc285444530"/>
      <w:bookmarkStart w:id="43" w:name="_Toc302263936"/>
      <w:bookmarkStart w:id="44" w:name="_Toc286050738"/>
      <w:bookmarkStart w:id="45" w:name="_Toc302263227"/>
      <w:bookmarkStart w:id="46" w:name="_Toc291765626"/>
      <w:bookmarkStart w:id="47" w:name="_Toc287511883"/>
      <w:bookmarkStart w:id="48" w:name="_Toc281291352"/>
      <w:bookmarkStart w:id="49" w:name="_Toc285981768"/>
      <w:r>
        <w:rPr>
          <w:rFonts w:hint="eastAsia" w:ascii="方正大标宋简体" w:hAnsi="宋体" w:eastAsia="方正大标宋简体"/>
          <w:color w:val="auto"/>
        </w:rPr>
        <w:t>前  言</w:t>
      </w:r>
      <w:bookmarkEnd w:id="0"/>
    </w:p>
    <w:p>
      <w:pPr>
        <w:spacing w:before="312" w:beforeLines="100" w:line="600" w:lineRule="exact"/>
        <w:ind w:firstLine="640"/>
        <w:rPr>
          <w:rFonts w:hint="eastAsia" w:ascii="仿宋_GB2312" w:hAnsi="仿宋" w:eastAsia="仿宋_GB2312" w:cs="仿宋"/>
          <w:color w:val="auto"/>
          <w:spacing w:val="-6"/>
          <w:szCs w:val="32"/>
        </w:rPr>
      </w:pPr>
      <w:r>
        <w:rPr>
          <w:rFonts w:hint="eastAsia" w:ascii="仿宋_GB2312" w:hAnsi="仿宋" w:eastAsia="仿宋_GB2312" w:cs="仿宋"/>
          <w:color w:val="auto"/>
          <w:szCs w:val="32"/>
        </w:rPr>
        <w:t>“十二五”以来，陕南三市按照省委、省政府的统一部署，大力实施陕南循环发展战略，经济实力大幅提升，城乡面貌发生巨大变化，民生工程和生态文明建设取得了可喜成绩，但受历史、自然、地理等多方面因素影响，经济社会发展依然面临许多特殊困难和瓶颈制约，迫切需要进一步优化发展模式，加快发展步伐。为贯彻落实</w:t>
      </w:r>
      <w:r>
        <w:rPr>
          <w:rFonts w:hint="eastAsia" w:ascii="仿宋_GB2312" w:hAnsi="仿宋" w:eastAsia="仿宋_GB2312" w:cs="仿宋"/>
          <w:color w:val="auto"/>
          <w:szCs w:val="32"/>
          <w:lang w:val="en-US" w:eastAsia="zh-CN"/>
        </w:rPr>
        <w:t>习近平</w:t>
      </w:r>
      <w:r>
        <w:rPr>
          <w:rFonts w:hint="eastAsia" w:ascii="仿宋_GB2312" w:hAnsi="仿宋" w:eastAsia="仿宋_GB2312" w:cs="仿宋"/>
          <w:color w:val="auto"/>
          <w:szCs w:val="32"/>
        </w:rPr>
        <w:t>总书记来陕视察等系列讲话精神，牢固树立“创新、协调、绿色、开放、共享”发展理念，</w:t>
      </w:r>
      <w:r>
        <w:rPr>
          <w:rFonts w:ascii="仿宋_GB2312" w:hAnsi="仿宋" w:eastAsia="仿宋_GB2312" w:cs="仿宋"/>
          <w:color w:val="auto"/>
          <w:szCs w:val="32"/>
        </w:rPr>
        <w:t>持续推进</w:t>
      </w:r>
      <w:r>
        <w:rPr>
          <w:rFonts w:hint="eastAsia" w:ascii="仿宋_GB2312" w:hAnsi="仿宋" w:eastAsia="仿宋_GB2312" w:cs="仿宋"/>
          <w:color w:val="auto"/>
          <w:szCs w:val="32"/>
        </w:rPr>
        <w:t>“</w:t>
      </w:r>
      <w:r>
        <w:rPr>
          <w:rFonts w:ascii="仿宋_GB2312" w:hAnsi="仿宋" w:eastAsia="仿宋_GB2312" w:cs="仿宋"/>
          <w:color w:val="auto"/>
          <w:szCs w:val="32"/>
        </w:rPr>
        <w:t>去产能、去库存、去杠杆、降成本、补短板</w:t>
      </w:r>
      <w:r>
        <w:rPr>
          <w:rFonts w:hint="eastAsia" w:ascii="仿宋_GB2312" w:hAnsi="仿宋" w:eastAsia="仿宋_GB2312" w:cs="仿宋"/>
          <w:color w:val="auto"/>
          <w:szCs w:val="32"/>
        </w:rPr>
        <w:t>”</w:t>
      </w:r>
      <w:r>
        <w:rPr>
          <w:rFonts w:ascii="仿宋_GB2312" w:hAnsi="仿宋" w:eastAsia="仿宋_GB2312" w:cs="仿宋"/>
          <w:color w:val="auto"/>
          <w:szCs w:val="32"/>
        </w:rPr>
        <w:t>供给侧</w:t>
      </w:r>
      <w:r>
        <w:rPr>
          <w:rFonts w:hint="eastAsia" w:ascii="仿宋_GB2312" w:hAnsi="仿宋" w:eastAsia="仿宋_GB2312" w:cs="仿宋"/>
          <w:color w:val="auto"/>
          <w:szCs w:val="32"/>
        </w:rPr>
        <w:t>结构性</w:t>
      </w:r>
      <w:r>
        <w:rPr>
          <w:rFonts w:ascii="仿宋_GB2312" w:hAnsi="仿宋" w:eastAsia="仿宋_GB2312" w:cs="仿宋"/>
          <w:color w:val="auto"/>
          <w:szCs w:val="32"/>
        </w:rPr>
        <w:t>改革</w:t>
      </w:r>
      <w:r>
        <w:rPr>
          <w:rFonts w:hint="eastAsia" w:ascii="仿宋_GB2312" w:hAnsi="仿宋" w:eastAsia="仿宋_GB2312" w:cs="仿宋"/>
          <w:color w:val="auto"/>
          <w:szCs w:val="32"/>
        </w:rPr>
        <w:t>，</w:t>
      </w:r>
      <w:r>
        <w:rPr>
          <w:rFonts w:hint="eastAsia" w:ascii="仿宋_GB2312" w:hAnsi="仿宋" w:eastAsia="仿宋_GB2312" w:cs="仿宋"/>
          <w:color w:val="auto"/>
          <w:spacing w:val="-6"/>
          <w:szCs w:val="32"/>
        </w:rPr>
        <w:t>按照省委、省政府提出的陕南绿色循环发展战略定位，确保陕南现行标准下贫困人口“十三五”时期全部脱贫及到2020年与全省同步够格全面建成小康社会，特制定本规划。</w:t>
      </w:r>
    </w:p>
    <w:p>
      <w:pPr>
        <w:spacing w:line="600" w:lineRule="exact"/>
        <w:ind w:firstLine="640"/>
        <w:rPr>
          <w:rFonts w:hint="eastAsia" w:ascii="仿宋_GB2312" w:hAnsi="仿宋" w:eastAsia="仿宋_GB2312" w:cs="仿宋"/>
          <w:color w:val="auto"/>
          <w:szCs w:val="32"/>
        </w:rPr>
      </w:pPr>
      <w:r>
        <w:rPr>
          <w:rFonts w:hint="eastAsia" w:ascii="仿宋_GB2312" w:hAnsi="仿宋" w:eastAsia="仿宋_GB2312" w:cs="仿宋"/>
          <w:color w:val="auto"/>
          <w:szCs w:val="32"/>
        </w:rPr>
        <w:t>规划范围：汉中市、安康市、商洛市全境，共28个县（区）。规划区域总面积7.02万平方公里，2015年区域常住总人口844.55万人、地区生产总值2459.12亿元、地方财政收入107.3亿元。</w:t>
      </w:r>
    </w:p>
    <w:p>
      <w:pPr>
        <w:spacing w:line="600" w:lineRule="exact"/>
        <w:ind w:firstLine="640"/>
        <w:rPr>
          <w:rFonts w:ascii="仿宋_GB2312" w:hAnsi="仿宋" w:eastAsia="仿宋_GB2312" w:cs="仿宋"/>
          <w:color w:val="auto"/>
          <w:szCs w:val="32"/>
        </w:rPr>
        <w:sectPr>
          <w:headerReference r:id="rId13" w:type="default"/>
          <w:footerReference r:id="rId14" w:type="default"/>
          <w:footerReference r:id="rId15" w:type="even"/>
          <w:pgSz w:w="11906" w:h="16838"/>
          <w:pgMar w:top="1701" w:right="1588" w:bottom="1588" w:left="1701" w:header="1021" w:footer="1021" w:gutter="0"/>
          <w:pgNumType w:start="1"/>
          <w:cols w:space="720" w:num="1"/>
          <w:docGrid w:type="linesAndChars" w:linePitch="312" w:charSpace="0"/>
        </w:sectPr>
      </w:pPr>
      <w:r>
        <w:rPr>
          <w:rFonts w:hint="eastAsia" w:ascii="仿宋_GB2312" w:hAnsi="仿宋" w:eastAsia="仿宋_GB2312" w:cs="仿宋"/>
          <w:color w:val="auto"/>
          <w:szCs w:val="32"/>
        </w:rPr>
        <w:t>本规划是指导陕南地区未来五年绿色循环发展的行动纲领和编制相关规划、布局重大项目的重要依据，规划期为2016-2020年。</w:t>
      </w:r>
    </w:p>
    <w:bookmarkEnd w:id="1"/>
    <w:bookmarkEnd w:id="2"/>
    <w:bookmarkEnd w:id="3"/>
    <w:bookmarkEnd w:id="4"/>
    <w:bookmarkEnd w:id="5"/>
    <w:bookmarkEnd w:id="6"/>
    <w:p>
      <w:pPr>
        <w:pStyle w:val="2"/>
        <w:keepNext w:val="0"/>
        <w:keepLines w:val="0"/>
        <w:spacing w:before="312" w:beforeLines="100" w:after="312" w:afterLines="100"/>
        <w:jc w:val="center"/>
        <w:rPr>
          <w:rFonts w:hint="eastAsia" w:ascii="方正大标宋简体" w:hAnsi="黑体" w:eastAsia="方正大标宋简体" w:cs="黑体"/>
          <w:color w:val="auto"/>
        </w:rPr>
      </w:pPr>
      <w:bookmarkStart w:id="50" w:name="_Toc165"/>
      <w:bookmarkStart w:id="51" w:name="_Toc285439569"/>
      <w:bookmarkStart w:id="52" w:name="_Toc291766126"/>
      <w:bookmarkStart w:id="53" w:name="_Toc286050718"/>
      <w:bookmarkStart w:id="54" w:name="_Toc286971146"/>
      <w:bookmarkStart w:id="55" w:name="_Toc298228098"/>
      <w:bookmarkStart w:id="56" w:name="_Toc286964559"/>
      <w:bookmarkStart w:id="57" w:name="_Toc294170211"/>
      <w:bookmarkStart w:id="58" w:name="_Toc285438789"/>
      <w:bookmarkStart w:id="59" w:name="_Toc278215272"/>
      <w:bookmarkStart w:id="60" w:name="_Toc291765623"/>
      <w:bookmarkStart w:id="61" w:name="_Toc285981748"/>
      <w:bookmarkStart w:id="62" w:name="_Toc281291321"/>
      <w:bookmarkStart w:id="63" w:name="_Toc287547084"/>
      <w:bookmarkStart w:id="64" w:name="_Toc291764738"/>
      <w:bookmarkStart w:id="65" w:name="_Toc278215177"/>
      <w:bookmarkStart w:id="66" w:name="_Toc291627527"/>
      <w:bookmarkStart w:id="67" w:name="_Toc285444515"/>
      <w:bookmarkStart w:id="68" w:name="_Toc285444287"/>
      <w:bookmarkStart w:id="69" w:name="_Toc287511864"/>
      <w:bookmarkStart w:id="70" w:name="_Toc276716532"/>
      <w:r>
        <w:rPr>
          <w:rFonts w:hint="eastAsia" w:ascii="方正大标宋简体" w:hAnsi="黑体" w:eastAsia="方正大标宋简体" w:cs="黑体"/>
          <w:color w:val="auto"/>
        </w:rPr>
        <w:t>第一章  发展基础</w:t>
      </w:r>
      <w:bookmarkEnd w:id="50"/>
    </w:p>
    <w:p>
      <w:pPr>
        <w:spacing w:line="620" w:lineRule="exact"/>
        <w:ind w:firstLine="640"/>
        <w:rPr>
          <w:rFonts w:hint="eastAsia" w:ascii="仿宋_GB2312" w:hAnsi="仿宋" w:eastAsia="仿宋_GB2312" w:cs="仿宋"/>
          <w:color w:val="auto"/>
          <w:szCs w:val="32"/>
        </w:rPr>
      </w:pPr>
      <w:r>
        <w:rPr>
          <w:rFonts w:hint="eastAsia" w:ascii="仿宋_GB2312" w:hAnsi="仿宋" w:eastAsia="仿宋_GB2312" w:cs="仿宋"/>
          <w:color w:val="auto"/>
          <w:szCs w:val="32"/>
        </w:rPr>
        <w:t>陕南区位优势明显，位于关中-天水、成渝、江汉三大经济区交汇地带，是连接丝绸之路经济带与长江经济带的重要桥梁；水能及林、药、茶、菜、果等生物资源丰富，水资源占全省的71%，茶叶、柑橘、生猪三大产业规模居全省之首；土壤有机质含量高，是全国最大的天然富硒资源区；优质矿产资源富集，是我国重要的成矿带，铁、钒、钛、银等20种矿藏探明量全省最多,金长石、钾长石储量亚洲第一，镇巴区块油气潜在储量达132万亿立方米；生态文化旅游资源丰富，拥有商洛金丝峡5A级景区、世界文化遗产张骞墓和12个国家自然保护区、13个国家森林公园；生态地位重要，是秦巴生态多样性功能区的重要组成部分和南水北调中线工程重要水源涵养区；产业基础较好，以冶金、装备制造、生物医药、绿色食品、清洁能源、现代材料等为主的产业体系基本形成。</w:t>
      </w:r>
    </w:p>
    <w:p>
      <w:pPr>
        <w:pStyle w:val="3"/>
        <w:keepNext w:val="0"/>
        <w:keepLines w:val="0"/>
        <w:spacing w:before="156" w:beforeLines="50" w:after="156" w:afterLines="50" w:line="620" w:lineRule="exact"/>
        <w:rPr>
          <w:rStyle w:val="30"/>
          <w:rFonts w:hint="eastAsia" w:ascii="方正黑体简体" w:hAnsi="宋体" w:eastAsia="方正黑体简体" w:cs="宋体"/>
          <w:b/>
          <w:bCs/>
          <w:color w:val="auto"/>
          <w:kern w:val="0"/>
        </w:rPr>
      </w:pPr>
      <w:bookmarkStart w:id="71" w:name="_Toc17269"/>
      <w:r>
        <w:rPr>
          <w:rFonts w:hint="eastAsia" w:ascii="方正黑体简体" w:hAnsi="宋体" w:eastAsia="方正黑体简体" w:cs="宋体"/>
          <w:b w:val="0"/>
          <w:color w:val="auto"/>
        </w:rPr>
        <w:t>第一节  主要成效</w:t>
      </w:r>
      <w:bookmarkEnd w:id="71"/>
    </w:p>
    <w:p>
      <w:pPr>
        <w:spacing w:line="620" w:lineRule="exact"/>
        <w:ind w:firstLine="643"/>
        <w:rPr>
          <w:rFonts w:hint="eastAsia" w:ascii="仿宋_GB2312" w:hAnsi="仿宋" w:eastAsia="仿宋_GB2312" w:cs="仿宋"/>
          <w:color w:val="auto"/>
          <w:szCs w:val="32"/>
        </w:rPr>
      </w:pPr>
      <w:bookmarkStart w:id="72" w:name="_Toc286964557"/>
      <w:bookmarkStart w:id="73" w:name="_Toc286971144"/>
      <w:bookmarkStart w:id="74" w:name="_Toc286050716"/>
      <w:bookmarkStart w:id="75" w:name="_Toc285981746"/>
      <w:bookmarkStart w:id="76" w:name="_Toc287511862"/>
      <w:bookmarkStart w:id="77" w:name="_Toc287547082"/>
      <w:r>
        <w:rPr>
          <w:rFonts w:hint="eastAsia" w:ascii="仿宋_GB2312" w:hAnsi="仿宋" w:eastAsia="仿宋_GB2312" w:cs="仿宋"/>
          <w:b/>
          <w:bCs/>
          <w:color w:val="auto"/>
          <w:szCs w:val="32"/>
        </w:rPr>
        <w:t>综合经济实力不断增强。</w:t>
      </w:r>
      <w:r>
        <w:rPr>
          <w:rFonts w:hint="eastAsia" w:ascii="仿宋_GB2312" w:hAnsi="仿宋" w:eastAsia="仿宋_GB2312" w:cs="仿宋"/>
          <w:color w:val="auto"/>
          <w:szCs w:val="32"/>
        </w:rPr>
        <w:t>“十二五”期间，陕南是全省经济增长最快的板块，GDP年均增速达13.1%,高于全省平均增速2个百分点。2015年，陕南三市GDP达到2459.12亿元，是2010年的2.19倍，占全省比重由“十一五”末的11.1%提升到13.7%，提高2.6个百分点；地方财政收入达107.3亿元，是2010年的2.4倍；基本实现了“富裕陕南”的发展目标。</w:t>
      </w:r>
      <w:r>
        <w:rPr>
          <w:rFonts w:hint="eastAsia" w:ascii="仿宋_GB2312" w:hAnsi="宋体" w:eastAsia="仿宋_GB2312" w:cs="宋体"/>
          <w:color w:val="auto"/>
          <w:kern w:val="0"/>
          <w:szCs w:val="32"/>
        </w:rPr>
        <w:t>累计固定资产投资8629.9亿元，是“十一五”期间的2.9倍，</w:t>
      </w:r>
      <w:r>
        <w:rPr>
          <w:rFonts w:hint="eastAsia" w:ascii="仿宋_GB2312" w:eastAsia="仿宋_GB2312"/>
          <w:color w:val="auto"/>
        </w:rPr>
        <w:t>投资拉动、项目带动成效明显</w:t>
      </w:r>
      <w:r>
        <w:rPr>
          <w:rFonts w:hint="eastAsia" w:ascii="仿宋_GB2312" w:hAnsi="仿宋" w:eastAsia="仿宋_GB2312"/>
          <w:color w:val="auto"/>
          <w:szCs w:val="32"/>
        </w:rPr>
        <w:t>，</w:t>
      </w:r>
      <w:r>
        <w:rPr>
          <w:rFonts w:hint="eastAsia" w:ascii="仿宋_GB2312" w:hAnsi="仿宋" w:eastAsia="仿宋_GB2312" w:cs="仿宋"/>
          <w:color w:val="auto"/>
          <w:szCs w:val="32"/>
        </w:rPr>
        <w:t>安康高新区</w:t>
      </w:r>
      <w:r>
        <w:rPr>
          <w:rFonts w:hint="eastAsia" w:ascii="仿宋_GB2312" w:hAnsi="宋体" w:eastAsia="仿宋_GB2312" w:cs="宋体"/>
          <w:color w:val="auto"/>
          <w:kern w:val="0"/>
          <w:szCs w:val="32"/>
        </w:rPr>
        <w:t>创建为国家级高新区。</w:t>
      </w:r>
    </w:p>
    <w:p>
      <w:pPr>
        <w:spacing w:line="620" w:lineRule="exact"/>
        <w:ind w:firstLine="643"/>
        <w:rPr>
          <w:rFonts w:hint="eastAsia" w:ascii="仿宋_GB2312" w:hAnsi="仿宋" w:eastAsia="仿宋_GB2312" w:cs="仿宋"/>
          <w:b/>
          <w:color w:val="auto"/>
          <w:kern w:val="0"/>
          <w:szCs w:val="32"/>
        </w:rPr>
      </w:pPr>
      <w:r>
        <w:rPr>
          <w:rFonts w:hint="eastAsia" w:ascii="仿宋_GB2312" w:hAnsi="仿宋" w:eastAsia="仿宋_GB2312" w:cs="仿宋"/>
          <w:b/>
          <w:color w:val="auto"/>
          <w:kern w:val="0"/>
          <w:szCs w:val="32"/>
        </w:rPr>
        <w:t>现代循环产业体系初步形成。</w:t>
      </w:r>
      <w:r>
        <w:rPr>
          <w:rFonts w:hint="eastAsia" w:ascii="仿宋_GB2312" w:hAnsi="仿宋" w:eastAsia="仿宋_GB2312" w:cs="仿宋"/>
          <w:color w:val="auto"/>
          <w:szCs w:val="32"/>
        </w:rPr>
        <w:t>“十二五”期间，</w:t>
      </w:r>
      <w:r>
        <w:rPr>
          <w:rFonts w:hint="eastAsia" w:ascii="仿宋_GB2312" w:hAnsi="仿宋" w:eastAsia="仿宋_GB2312"/>
          <w:color w:val="auto"/>
          <w:szCs w:val="32"/>
        </w:rPr>
        <w:t>大力实施陕南循环发展战略，省级财政累计安排30亿元，培育和壮大陕南现代循环产业体系，实施循环产业项目1007个，有色、钢铁、装备、能源、生物制药、非金属新材料、油气化工、绿色食品、蚕桑丝绸、旅游十大循环经济产业链基本形成。陕南三市循环产业核心区和县域工业园区基础设施、公共服务设施日趋完善，创建</w:t>
      </w:r>
      <w:r>
        <w:rPr>
          <w:rFonts w:hint="eastAsia" w:ascii="仿宋_GB2312" w:hAnsi="宋体" w:eastAsia="仿宋_GB2312" w:cs="宋体"/>
          <w:color w:val="auto"/>
          <w:kern w:val="0"/>
          <w:szCs w:val="32"/>
        </w:rPr>
        <w:t>省级现代农业园区78个、省级重点县域工业集中区54个，县域工业园区实现了全覆盖。2015年，规上工业增加值达795.73亿元，工业增加值达到897.71亿元，分别“十一五”末的3.2倍和3倍。</w:t>
      </w:r>
      <w:r>
        <w:rPr>
          <w:rFonts w:hint="eastAsia" w:ascii="仿宋_GB2312" w:hAnsi="仿宋" w:eastAsia="仿宋_GB2312"/>
          <w:color w:val="auto"/>
          <w:szCs w:val="32"/>
        </w:rPr>
        <w:t>产业结构不断优化，绿色食品、现代中药、</w:t>
      </w:r>
      <w:r>
        <w:rPr>
          <w:rFonts w:hint="eastAsia" w:ascii="仿宋_GB2312" w:hAnsi="宋体" w:eastAsia="仿宋_GB2312" w:cs="宋体"/>
          <w:color w:val="auto"/>
          <w:kern w:val="0"/>
          <w:szCs w:val="32"/>
        </w:rPr>
        <w:t>生态旅</w:t>
      </w:r>
      <w:r>
        <w:rPr>
          <w:rFonts w:hint="eastAsia" w:ascii="仿宋_GB2312" w:hAnsi="仿宋" w:eastAsia="仿宋_GB2312"/>
          <w:color w:val="auto"/>
          <w:szCs w:val="32"/>
        </w:rPr>
        <w:t>游等产业快速壮大，航空装备制造、现代材料、生物医药和太阳能光伏等战略性新兴产业发展迅猛，现代循环产业体系初步形成。</w:t>
      </w:r>
    </w:p>
    <w:p>
      <w:pPr>
        <w:spacing w:line="620" w:lineRule="exact"/>
        <w:ind w:firstLine="643"/>
        <w:rPr>
          <w:rFonts w:hint="eastAsia" w:ascii="仿宋_GB2312" w:hAnsi="仿宋" w:eastAsia="仿宋_GB2312"/>
          <w:color w:val="auto"/>
          <w:szCs w:val="32"/>
        </w:rPr>
      </w:pPr>
      <w:r>
        <w:rPr>
          <w:rFonts w:hint="eastAsia" w:ascii="仿宋_GB2312" w:hAnsi="仿宋" w:eastAsia="仿宋_GB2312" w:cs="仿宋"/>
          <w:b/>
          <w:color w:val="auto"/>
          <w:kern w:val="0"/>
          <w:szCs w:val="32"/>
        </w:rPr>
        <w:t>一县一业规模不断壮大。</w:t>
      </w:r>
      <w:r>
        <w:rPr>
          <w:rFonts w:hint="eastAsia" w:ascii="仿宋_GB2312" w:hAnsi="仿宋" w:eastAsia="仿宋_GB2312" w:cs="仿宋"/>
          <w:color w:val="auto"/>
          <w:kern w:val="0"/>
          <w:szCs w:val="32"/>
        </w:rPr>
        <w:t>大力发展“一县一业”，积极发展绿色生态经济，</w:t>
      </w:r>
      <w:r>
        <w:rPr>
          <w:rFonts w:hint="eastAsia" w:ascii="仿宋_GB2312" w:hAnsi="仿宋" w:eastAsia="仿宋_GB2312"/>
          <w:color w:val="auto"/>
          <w:szCs w:val="32"/>
        </w:rPr>
        <w:t>县域经济实力快速提升，201</w:t>
      </w:r>
      <w:r>
        <w:rPr>
          <w:rFonts w:hint="eastAsia" w:ascii="仿宋_GB2312" w:hAnsi="仿宋" w:eastAsia="仿宋_GB2312"/>
          <w:color w:val="auto"/>
          <w:szCs w:val="32"/>
          <w:lang w:val="en-US" w:eastAsia="zh-CN"/>
        </w:rPr>
        <w:t>5</w:t>
      </w:r>
      <w:r>
        <w:rPr>
          <w:rFonts w:hint="eastAsia" w:ascii="仿宋_GB2312" w:hAnsi="仿宋" w:eastAsia="仿宋_GB2312"/>
          <w:color w:val="auto"/>
          <w:szCs w:val="32"/>
        </w:rPr>
        <w:t>年全省县域经济社会发展争先进位奖前十名</w:t>
      </w:r>
      <w:r>
        <w:rPr>
          <w:rFonts w:hint="eastAsia" w:ascii="仿宋_GB2312" w:hAnsi="仿宋" w:eastAsia="仿宋_GB2312"/>
          <w:color w:val="auto"/>
          <w:szCs w:val="32"/>
          <w:lang w:eastAsia="zh-CN"/>
        </w:rPr>
        <w:t>中</w:t>
      </w:r>
      <w:r>
        <w:rPr>
          <w:rFonts w:hint="eastAsia" w:ascii="仿宋_GB2312" w:hAnsi="仿宋" w:eastAsia="仿宋_GB2312"/>
          <w:color w:val="auto"/>
          <w:szCs w:val="32"/>
        </w:rPr>
        <w:t>，陕南县占</w:t>
      </w:r>
      <w:r>
        <w:rPr>
          <w:rFonts w:hint="eastAsia" w:ascii="仿宋_GB2312" w:hAnsi="仿宋" w:eastAsia="仿宋_GB2312"/>
          <w:color w:val="auto"/>
          <w:szCs w:val="32"/>
          <w:lang w:eastAsia="zh-CN"/>
        </w:rPr>
        <w:t>七</w:t>
      </w:r>
      <w:r>
        <w:rPr>
          <w:rFonts w:hint="eastAsia" w:ascii="仿宋_GB2312" w:hAnsi="仿宋" w:eastAsia="仿宋_GB2312"/>
          <w:color w:val="auto"/>
          <w:szCs w:val="32"/>
        </w:rPr>
        <w:t>席。依托矿产能源、蔬果茶药、畜禽水产等特色资源优势，陕南循环发展专项资金杠杆作用凸显，生物加工、生态旅游、新型材料等产业板块不断壮大，陕飞公司扩能及大运飞机配套项目、白河神达环卫车、商洛比亚迪太阳能光伏组件等重大工业项目建成投产，创建国家4A级景区达14个，</w:t>
      </w:r>
      <w:r>
        <w:rPr>
          <w:rFonts w:hint="eastAsia" w:ascii="仿宋_GB2312" w:hAnsi="宋体" w:eastAsia="仿宋_GB2312" w:cs="宋体"/>
          <w:color w:val="auto"/>
          <w:kern w:val="0"/>
          <w:szCs w:val="32"/>
        </w:rPr>
        <w:t>商南金丝峡成功跻身国家5A</w:t>
      </w:r>
      <w:r>
        <w:rPr>
          <w:rFonts w:hint="eastAsia" w:ascii="仿宋_GB2312" w:hAnsi="仿宋" w:eastAsia="仿宋_GB2312"/>
          <w:color w:val="auto"/>
          <w:szCs w:val="32"/>
        </w:rPr>
        <w:t>级景区，“一县一业”成为县域经济的支撑产业。</w:t>
      </w:r>
    </w:p>
    <w:p>
      <w:pPr>
        <w:spacing w:line="620" w:lineRule="exact"/>
        <w:ind w:firstLine="643"/>
        <w:rPr>
          <w:rFonts w:hint="eastAsia" w:ascii="仿宋_GB2312" w:hAnsi="仿宋" w:eastAsia="仿宋_GB2312" w:cs="仿宋"/>
          <w:b/>
          <w:color w:val="auto"/>
          <w:kern w:val="0"/>
          <w:szCs w:val="32"/>
        </w:rPr>
      </w:pPr>
      <w:r>
        <w:rPr>
          <w:rFonts w:hint="eastAsia" w:ascii="仿宋_GB2312" w:hAnsi="仿宋" w:eastAsia="仿宋_GB2312" w:cs="仿宋"/>
          <w:b/>
          <w:color w:val="auto"/>
          <w:kern w:val="0"/>
          <w:szCs w:val="32"/>
        </w:rPr>
        <w:t>城乡一体化进一步推进。</w:t>
      </w:r>
      <w:r>
        <w:rPr>
          <w:rFonts w:hint="eastAsia" w:ascii="仿宋_GB2312" w:hAnsi="宋体" w:eastAsia="仿宋_GB2312" w:cs="宋体"/>
          <w:color w:val="auto"/>
          <w:kern w:val="0"/>
          <w:szCs w:val="32"/>
        </w:rPr>
        <w:t>“十二五”期间，陕南三大核心城市聚集功能不断增强，汉中“双百城市”建设稳步推进，安康高新区建设助推新城崛起，商洛“一体两翼”中心城市框架初具雏形，县城、重点镇和新型社区建设全面加快。累计实施陕南移民搬迁111.89万人，探索出了贫困地区加快推进新型城镇化的新路径。陕南城镇化率达到46.71%，较2010年提高了13.13个百分点，新型城镇和美丽乡村建设呈现崭新气象。</w:t>
      </w:r>
    </w:p>
    <w:p>
      <w:pPr>
        <w:spacing w:line="620" w:lineRule="exact"/>
        <w:ind w:firstLine="643"/>
        <w:rPr>
          <w:rFonts w:hint="eastAsia" w:ascii="仿宋_GB2312" w:hAnsi="宋体" w:eastAsia="仿宋_GB2312" w:cs="宋体"/>
          <w:color w:val="auto"/>
          <w:kern w:val="0"/>
          <w:szCs w:val="32"/>
        </w:rPr>
      </w:pPr>
      <w:r>
        <w:rPr>
          <w:rFonts w:hint="eastAsia" w:ascii="仿宋_GB2312" w:hAnsi="仿宋" w:eastAsia="仿宋_GB2312" w:cs="仿宋"/>
          <w:b/>
          <w:color w:val="auto"/>
          <w:kern w:val="0"/>
          <w:szCs w:val="32"/>
        </w:rPr>
        <w:t>基础设施保障有效提升。</w:t>
      </w:r>
      <w:r>
        <w:rPr>
          <w:rFonts w:hint="eastAsia" w:ascii="仿宋_GB2312" w:hAnsi="宋体" w:eastAsia="仿宋_GB2312" w:cs="宋体"/>
          <w:color w:val="auto"/>
          <w:kern w:val="0"/>
          <w:szCs w:val="32"/>
        </w:rPr>
        <w:t>京昆、包茂、沪陕、福银、十天高速陕南段全线通车，联通了三市80%以上的县（区），安（康）平（利）高速建成投用，山（阳）柞（水）高速开工建设，陕南高速公路骨架网基本形成；西康铁路复线建成，西成客专、阳安铁路扩能改造、西合铁路复线有序推进；汉中机场正式通航，安康新机场开工建设；新建330千伏变电站2座，110千伏变电站21座。“引汉济渭”跻身全国重点重大水利工程之列，已累计完成投资62.2亿元，汉江综合整治建成堤防和护岸252公里。基础设施的不断完善增强了陕南经济社会发展的保障能力。</w:t>
      </w:r>
    </w:p>
    <w:p>
      <w:pPr>
        <w:spacing w:line="620" w:lineRule="exact"/>
        <w:ind w:firstLine="643"/>
        <w:rPr>
          <w:rFonts w:hint="eastAsia" w:ascii="仿宋_GB2312" w:hAnsi="宋体" w:eastAsia="仿宋_GB2312"/>
          <w:color w:val="auto"/>
          <w:szCs w:val="32"/>
        </w:rPr>
      </w:pPr>
      <w:r>
        <w:rPr>
          <w:rFonts w:hint="eastAsia" w:ascii="仿宋_GB2312" w:hAnsi="仿宋" w:eastAsia="仿宋_GB2312" w:cs="仿宋"/>
          <w:b/>
          <w:color w:val="auto"/>
          <w:kern w:val="0"/>
          <w:szCs w:val="32"/>
        </w:rPr>
        <w:t>生态文明建设取得新进展。</w:t>
      </w:r>
      <w:r>
        <w:rPr>
          <w:rFonts w:hint="eastAsia" w:ascii="仿宋_GB2312" w:hAnsi="仿宋" w:eastAsia="仿宋_GB2312"/>
          <w:color w:val="auto"/>
          <w:szCs w:val="32"/>
        </w:rPr>
        <w:t>汉、丹江流域综合治理工程有序开展，</w:t>
      </w:r>
      <w:r>
        <w:rPr>
          <w:rFonts w:hint="eastAsia" w:ascii="仿宋_GB2312" w:hAnsi="宋体" w:eastAsia="仿宋_GB2312" w:cs="宋体"/>
          <w:color w:val="auto"/>
          <w:kern w:val="0"/>
          <w:szCs w:val="32"/>
        </w:rPr>
        <w:t>治理小流域166条、治理水土流失3600平方公里，</w:t>
      </w:r>
      <w:r>
        <w:rPr>
          <w:rFonts w:hint="eastAsia" w:ascii="仿宋_GB2312" w:hAnsi="仿宋" w:eastAsia="仿宋_GB2312"/>
          <w:color w:val="auto"/>
          <w:szCs w:val="32"/>
        </w:rPr>
        <w:t>水源涵养和水质保护生态屏障得到全面建设，汉、丹江水质稳定控制在Ⅱ类目标以内</w:t>
      </w:r>
      <w:r>
        <w:rPr>
          <w:rFonts w:hint="eastAsia" w:ascii="仿宋_GB2312" w:hAnsi="宋体" w:eastAsia="仿宋_GB2312"/>
          <w:color w:val="auto"/>
          <w:szCs w:val="32"/>
        </w:rPr>
        <w:t>，确保了南水北调中线一期工程顺利通水。</w:t>
      </w:r>
      <w:r>
        <w:rPr>
          <w:rFonts w:hint="eastAsia" w:ascii="仿宋_GB2312" w:hAnsi="仿宋" w:eastAsia="仿宋_GB2312"/>
          <w:color w:val="auto"/>
          <w:szCs w:val="32"/>
        </w:rPr>
        <w:t>城市中心区、县城及重点镇污水、垃圾处理项目积极推进，</w:t>
      </w:r>
      <w:r>
        <w:rPr>
          <w:rFonts w:hint="eastAsia" w:ascii="仿宋_GB2312" w:hAnsi="宋体" w:eastAsia="仿宋_GB2312" w:cs="宋体"/>
          <w:color w:val="auto"/>
          <w:kern w:val="0"/>
          <w:szCs w:val="32"/>
        </w:rPr>
        <w:t>28个县城两场（厂）</w:t>
      </w:r>
      <w:r>
        <w:rPr>
          <w:rFonts w:hint="eastAsia" w:ascii="仿宋_GB2312" w:hAnsi="宋体" w:eastAsia="仿宋_GB2312"/>
          <w:color w:val="auto"/>
          <w:szCs w:val="32"/>
        </w:rPr>
        <w:t>实现</w:t>
      </w:r>
      <w:r>
        <w:rPr>
          <w:rFonts w:hint="eastAsia" w:ascii="仿宋_GB2312" w:hAnsi="宋体" w:eastAsia="仿宋_GB2312" w:cs="宋体"/>
          <w:color w:val="auto"/>
          <w:kern w:val="0"/>
          <w:szCs w:val="32"/>
        </w:rPr>
        <w:t>全覆盖。</w:t>
      </w:r>
      <w:r>
        <w:rPr>
          <w:rFonts w:hint="eastAsia" w:ascii="仿宋_GB2312" w:hAnsi="仿宋" w:eastAsia="仿宋_GB2312"/>
          <w:color w:val="auto"/>
          <w:szCs w:val="32"/>
        </w:rPr>
        <w:t>天然林保护二期工程、退耕还林等生态建设工程进展顺利，</w:t>
      </w:r>
      <w:r>
        <w:rPr>
          <w:rFonts w:hint="eastAsia" w:ascii="仿宋_GB2312" w:hAnsi="宋体" w:eastAsia="仿宋_GB2312"/>
          <w:color w:val="auto"/>
          <w:szCs w:val="32"/>
        </w:rPr>
        <w:t>森林覆盖率达64%，大气环境质量优良率达97%以上。</w:t>
      </w:r>
    </w:p>
    <w:p>
      <w:pPr>
        <w:pStyle w:val="25"/>
        <w:widowControl w:val="0"/>
        <w:spacing w:after="0" w:afterLines="0" w:afterAutospacing="0" w:line="620" w:lineRule="exact"/>
        <w:ind w:firstLine="643"/>
        <w:rPr>
          <w:rFonts w:hint="eastAsia" w:ascii="仿宋_GB2312" w:hAnsi="宋体" w:eastAsia="仿宋_GB2312" w:cs="Times New Roman"/>
          <w:color w:val="auto"/>
          <w:kern w:val="2"/>
          <w:szCs w:val="32"/>
        </w:rPr>
      </w:pPr>
      <w:r>
        <w:rPr>
          <w:rFonts w:hint="eastAsia" w:ascii="仿宋_GB2312" w:hAnsi="宋体" w:eastAsia="仿宋_GB2312" w:cs="Times New Roman"/>
          <w:b/>
          <w:bCs/>
          <w:color w:val="auto"/>
          <w:kern w:val="2"/>
          <w:szCs w:val="32"/>
        </w:rPr>
        <w:t>民生保障水平显著增强。</w:t>
      </w:r>
      <w:r>
        <w:rPr>
          <w:rFonts w:hint="eastAsia" w:ascii="仿宋_GB2312" w:hAnsi="仿宋" w:eastAsia="仿宋_GB2312" w:cs="仿宋"/>
          <w:color w:val="auto"/>
          <w:szCs w:val="32"/>
        </w:rPr>
        <w:t>坚持民生支出占新增财力和财政总支出的“两个80%”不动摇，</w:t>
      </w:r>
      <w:r>
        <w:rPr>
          <w:rFonts w:hint="eastAsia" w:ascii="仿宋_GB2312" w:hAnsi="宋体" w:eastAsia="仿宋_GB2312" w:cs="Times New Roman"/>
          <w:color w:val="auto"/>
          <w:kern w:val="2"/>
          <w:szCs w:val="32"/>
        </w:rPr>
        <w:t>教育、卫生、科技、文化、体育等社会事业全面发展，覆盖城乡的社会保障体系基本形成，公共服务均等化水平不断提高。精准扶贫成效显著，121万人口实现脱贫。2015年陕南三市城镇和农村居民人均可支配收入分别是2010年的1.8倍和2.3倍多。</w:t>
      </w:r>
    </w:p>
    <w:p>
      <w:pPr>
        <w:pStyle w:val="3"/>
        <w:keepNext w:val="0"/>
        <w:keepLines w:val="0"/>
        <w:spacing w:before="156" w:beforeLines="50" w:after="156" w:afterLines="50" w:line="620" w:lineRule="exact"/>
        <w:rPr>
          <w:rFonts w:hint="eastAsia" w:ascii="黑体" w:hAnsi="黑体" w:eastAsia="黑体" w:cs="宋体"/>
          <w:b w:val="0"/>
          <w:color w:val="auto"/>
        </w:rPr>
      </w:pPr>
      <w:bookmarkStart w:id="78" w:name="_Toc487"/>
      <w:r>
        <w:rPr>
          <w:rFonts w:hint="eastAsia" w:ascii="黑体" w:hAnsi="黑体" w:eastAsia="黑体" w:cs="宋体"/>
          <w:b w:val="0"/>
          <w:color w:val="auto"/>
        </w:rPr>
        <w:t>第二节  存在问题</w:t>
      </w:r>
      <w:bookmarkEnd w:id="78"/>
    </w:p>
    <w:p>
      <w:pPr>
        <w:spacing w:line="620" w:lineRule="exact"/>
        <w:ind w:firstLine="643"/>
        <w:rPr>
          <w:rFonts w:hint="eastAsia" w:ascii="仿宋_GB2312" w:hAnsi="仿宋" w:eastAsia="仿宋_GB2312" w:cs="仿宋"/>
          <w:color w:val="auto"/>
          <w:szCs w:val="32"/>
        </w:rPr>
      </w:pPr>
      <w:r>
        <w:rPr>
          <w:rFonts w:hint="eastAsia" w:ascii="仿宋_GB2312" w:hAnsi="宋体" w:eastAsia="仿宋_GB2312"/>
          <w:b/>
          <w:bCs/>
          <w:color w:val="auto"/>
          <w:szCs w:val="32"/>
        </w:rPr>
        <w:t>要素制约仍然突出。</w:t>
      </w:r>
      <w:r>
        <w:rPr>
          <w:rFonts w:hint="eastAsia" w:ascii="仿宋_GB2312" w:hAnsi="仿宋" w:eastAsia="仿宋_GB2312" w:cs="仿宋"/>
          <w:color w:val="auto"/>
          <w:szCs w:val="32"/>
        </w:rPr>
        <w:t>基础设施建设仍然滞后，3个县未通高速，</w:t>
      </w:r>
      <w:r>
        <w:rPr>
          <w:rFonts w:hint="eastAsia" w:ascii="仿宋_GB2312" w:hAnsi="宋体" w:eastAsia="仿宋_GB2312"/>
          <w:bCs/>
          <w:color w:val="auto"/>
          <w:szCs w:val="32"/>
        </w:rPr>
        <w:t>高铁、航空等现代化立体交通设施尚处于起步阶段；</w:t>
      </w:r>
      <w:r>
        <w:rPr>
          <w:rFonts w:hint="eastAsia" w:ascii="仿宋_GB2312" w:hAnsi="仿宋" w:eastAsia="仿宋_GB2312" w:cs="仿宋"/>
          <w:color w:val="auto"/>
          <w:szCs w:val="32"/>
        </w:rPr>
        <w:t>农田水利设施薄弱，能源电力保障不足，信息化差距大，气化陕南任务重，人才、技术、资金等要素短缺。</w:t>
      </w:r>
    </w:p>
    <w:p>
      <w:pPr>
        <w:spacing w:line="620" w:lineRule="exact"/>
        <w:ind w:firstLine="643"/>
        <w:rPr>
          <w:rFonts w:hint="eastAsia" w:ascii="仿宋_GB2312" w:hAnsi="宋体" w:eastAsia="仿宋_GB2312"/>
          <w:color w:val="auto"/>
          <w:szCs w:val="32"/>
        </w:rPr>
      </w:pPr>
      <w:r>
        <w:rPr>
          <w:rFonts w:hint="eastAsia" w:ascii="仿宋_GB2312" w:hAnsi="宋体" w:eastAsia="仿宋_GB2312"/>
          <w:b/>
          <w:bCs/>
          <w:color w:val="auto"/>
          <w:szCs w:val="32"/>
        </w:rPr>
        <w:t>自我发展能力较弱。</w:t>
      </w:r>
      <w:r>
        <w:rPr>
          <w:rFonts w:hint="eastAsia" w:ascii="仿宋_GB2312" w:hAnsi="宋体" w:eastAsia="仿宋_GB2312"/>
          <w:color w:val="auto"/>
          <w:szCs w:val="32"/>
        </w:rPr>
        <w:t>经济总量偏小，优势产业规模不大，集群化程度不高，科技创新能力不足，资源初级产品、价值链中低端产品占比较大，资源优势未能充分转化为经济优势。</w:t>
      </w:r>
    </w:p>
    <w:p>
      <w:pPr>
        <w:spacing w:line="620" w:lineRule="exact"/>
        <w:ind w:firstLine="643"/>
        <w:rPr>
          <w:rFonts w:hint="eastAsia" w:ascii="仿宋_GB2312" w:hAnsi="宋体" w:eastAsia="仿宋_GB2312"/>
          <w:bCs/>
          <w:color w:val="auto"/>
          <w:szCs w:val="32"/>
        </w:rPr>
      </w:pPr>
      <w:r>
        <w:rPr>
          <w:rFonts w:hint="eastAsia" w:ascii="仿宋_GB2312" w:hAnsi="宋体" w:eastAsia="仿宋_GB2312"/>
          <w:b/>
          <w:bCs/>
          <w:color w:val="auto"/>
          <w:szCs w:val="32"/>
        </w:rPr>
        <w:t>脱贫攻坚任务繁重。</w:t>
      </w:r>
      <w:r>
        <w:rPr>
          <w:rFonts w:hint="eastAsia" w:ascii="仿宋_GB2312" w:hAnsi="宋体" w:eastAsia="仿宋_GB2312"/>
          <w:bCs/>
          <w:color w:val="auto"/>
          <w:szCs w:val="32"/>
        </w:rPr>
        <w:t>陕南属</w:t>
      </w:r>
      <w:r>
        <w:rPr>
          <w:rFonts w:ascii="仿宋_GB2312" w:hAnsi="宋体" w:eastAsia="仿宋_GB2312"/>
          <w:bCs/>
          <w:color w:val="auto"/>
          <w:szCs w:val="32"/>
        </w:rPr>
        <w:t>秦巴山国家连片特困区</w:t>
      </w:r>
      <w:r>
        <w:rPr>
          <w:rFonts w:hint="eastAsia" w:ascii="仿宋_GB2312" w:hAnsi="宋体" w:eastAsia="仿宋_GB2312"/>
          <w:bCs/>
          <w:color w:val="auto"/>
          <w:szCs w:val="32"/>
        </w:rPr>
        <w:t>和川陕革命老区，其中27个县（区）属于国家级集中连片特殊困难县（区）及扶贫开发工作重点县（区），</w:t>
      </w:r>
      <w:r>
        <w:rPr>
          <w:rFonts w:hint="eastAsia" w:ascii="仿宋_GB2312" w:hAnsi="仿宋" w:eastAsia="仿宋_GB2312" w:cs="仿宋"/>
          <w:color w:val="auto"/>
          <w:szCs w:val="32"/>
        </w:rPr>
        <w:t>土地资源稀缺、经济欠发达</w:t>
      </w:r>
      <w:r>
        <w:rPr>
          <w:rFonts w:hint="eastAsia" w:ascii="仿宋_GB2312" w:hAnsi="宋体" w:eastAsia="仿宋_GB2312"/>
          <w:bCs/>
          <w:color w:val="auto"/>
          <w:szCs w:val="32"/>
        </w:rPr>
        <w:t>，现有贫困人口160.87万人，与全省同步够格全面建成小康社会任务艰巨。</w:t>
      </w:r>
    </w:p>
    <w:p>
      <w:pPr>
        <w:spacing w:line="620" w:lineRule="exact"/>
        <w:ind w:firstLine="643"/>
        <w:rPr>
          <w:rFonts w:hint="eastAsia" w:ascii="仿宋_GB2312" w:hAnsi="宋体" w:eastAsia="仿宋_GB2312"/>
          <w:color w:val="auto"/>
          <w:szCs w:val="32"/>
        </w:rPr>
      </w:pPr>
      <w:r>
        <w:rPr>
          <w:rFonts w:hint="eastAsia" w:ascii="仿宋_GB2312" w:hAnsi="宋体" w:eastAsia="仿宋_GB2312"/>
          <w:b/>
          <w:bCs/>
          <w:color w:val="auto"/>
          <w:szCs w:val="32"/>
        </w:rPr>
        <w:t>公共服务水平较低。</w:t>
      </w:r>
      <w:r>
        <w:rPr>
          <w:rFonts w:hint="eastAsia" w:ascii="仿宋_GB2312" w:hAnsi="宋体" w:eastAsia="仿宋_GB2312"/>
          <w:color w:val="auto"/>
          <w:szCs w:val="32"/>
        </w:rPr>
        <w:t>人均科技、教育、卫生、文化、就业和社会保障支出低于全省水平，公共服务设施建设滞后，城乡基本公共服务水平差距大。</w:t>
      </w:r>
    </w:p>
    <w:p>
      <w:pPr>
        <w:spacing w:line="620" w:lineRule="exact"/>
        <w:ind w:firstLine="643"/>
        <w:rPr>
          <w:rFonts w:hint="eastAsia" w:ascii="仿宋_GB2312" w:hAnsi="宋体" w:eastAsia="仿宋_GB2312"/>
          <w:bCs/>
          <w:color w:val="auto"/>
          <w:szCs w:val="32"/>
        </w:rPr>
      </w:pPr>
      <w:r>
        <w:rPr>
          <w:rFonts w:hint="eastAsia" w:ascii="仿宋_GB2312" w:hAnsi="宋体" w:eastAsia="仿宋_GB2312"/>
          <w:b/>
          <w:color w:val="auto"/>
          <w:szCs w:val="32"/>
        </w:rPr>
        <w:t>生态保护压力渐增。</w:t>
      </w:r>
      <w:r>
        <w:rPr>
          <w:rFonts w:hint="eastAsia" w:ascii="仿宋_GB2312" w:hAnsi="宋体" w:eastAsia="仿宋_GB2312"/>
          <w:bCs/>
          <w:color w:val="auto"/>
          <w:szCs w:val="32"/>
        </w:rPr>
        <w:t>陕南有23个县为限制开发区（重点生态功能区），28个县（区）中绝大部分属于南水北调中线水源涵养区，产业发展所依托的生物和矿产资源大多分布在上述区域，资源开发与环境保护的矛盾日益突出。</w:t>
      </w:r>
    </w:p>
    <w:p>
      <w:pPr>
        <w:pStyle w:val="3"/>
        <w:keepNext w:val="0"/>
        <w:keepLines w:val="0"/>
        <w:spacing w:before="156" w:beforeLines="50" w:after="156" w:afterLines="50" w:line="620" w:lineRule="exact"/>
        <w:rPr>
          <w:rFonts w:hint="eastAsia" w:ascii="黑体" w:hAnsi="黑体" w:eastAsia="黑体" w:cs="宋体"/>
          <w:b w:val="0"/>
          <w:color w:val="auto"/>
        </w:rPr>
      </w:pPr>
      <w:bookmarkStart w:id="79" w:name="_Toc26203"/>
      <w:r>
        <w:rPr>
          <w:rFonts w:hint="eastAsia" w:ascii="黑体" w:hAnsi="黑体" w:eastAsia="黑体" w:cs="宋体"/>
          <w:b w:val="0"/>
          <w:color w:val="auto"/>
        </w:rPr>
        <w:t>第三节  发展机遇</w:t>
      </w:r>
      <w:bookmarkEnd w:id="79"/>
    </w:p>
    <w:p>
      <w:pPr>
        <w:spacing w:line="620" w:lineRule="exact"/>
        <w:ind w:firstLine="627" w:firstLineChars="196"/>
        <w:rPr>
          <w:rFonts w:hint="eastAsia" w:ascii="仿宋_GB2312" w:eastAsia="仿宋_GB2312"/>
          <w:color w:val="auto"/>
        </w:rPr>
      </w:pPr>
      <w:r>
        <w:rPr>
          <w:rFonts w:hint="eastAsia" w:ascii="仿宋_GB2312" w:eastAsia="仿宋_GB2312"/>
          <w:b/>
          <w:bCs/>
          <w:color w:val="auto"/>
        </w:rPr>
        <w:t>“一带一路”和长江经济带国家战略实施，为陕南扩大开放和深化区域合作带来新机遇。</w:t>
      </w:r>
      <w:r>
        <w:rPr>
          <w:rFonts w:hint="eastAsia" w:ascii="仿宋_GB2312" w:eastAsia="仿宋_GB2312"/>
          <w:color w:val="auto"/>
        </w:rPr>
        <w:t>国家实施“一带一路”战略，使陕西迈入了向西开放的最前沿，我省作为丝绸之路经济带核心区，为陕南拓展与周边区域及中亚、俄罗斯、欧洲等国家开展文化旅游及优势产业的国际产能合作创造了有利条件。长江经济带战略的实施，有利于陕南依托地缘优势，积极承接东部地区经济辐射，加快构建区域性交通枢纽和物流中心，实现经济版图向东向南扩展，打造省际边界开放经济带。</w:t>
      </w:r>
    </w:p>
    <w:p>
      <w:pPr>
        <w:spacing w:line="620" w:lineRule="exact"/>
        <w:ind w:firstLine="627" w:firstLineChars="196"/>
        <w:rPr>
          <w:rFonts w:hint="eastAsia" w:ascii="仿宋_GB2312" w:hAnsi="宋体" w:eastAsia="仿宋_GB2312"/>
          <w:color w:val="auto"/>
          <w:szCs w:val="32"/>
        </w:rPr>
      </w:pPr>
      <w:r>
        <w:rPr>
          <w:rFonts w:hint="eastAsia" w:ascii="仿宋_GB2312" w:eastAsia="仿宋_GB2312"/>
          <w:b/>
          <w:color w:val="auto"/>
          <w:szCs w:val="32"/>
        </w:rPr>
        <w:t>“南水北调”中线工程和主体功能区定位，为陕南提升发展魅力和建设生态文明带来新机遇。</w:t>
      </w:r>
      <w:r>
        <w:rPr>
          <w:rFonts w:hint="eastAsia" w:ascii="仿宋_GB2312" w:hAnsi="宋体" w:eastAsia="仿宋_GB2312"/>
          <w:color w:val="auto"/>
          <w:szCs w:val="32"/>
        </w:rPr>
        <w:t>“南水北调”中线</w:t>
      </w:r>
      <w:r>
        <w:rPr>
          <w:rFonts w:hint="eastAsia" w:ascii="仿宋_GB2312" w:eastAsia="仿宋_GB2312"/>
          <w:color w:val="auto"/>
        </w:rPr>
        <w:t>一期工程正式通水标志调水工作重点从工程建设转向运行管理和水质保护，进一步落实习近平</w:t>
      </w:r>
      <w:bookmarkStart w:id="134" w:name="_GoBack"/>
      <w:bookmarkEnd w:id="134"/>
      <w:r>
        <w:rPr>
          <w:rFonts w:hint="eastAsia" w:ascii="仿宋_GB2312" w:eastAsia="仿宋_GB2312"/>
          <w:color w:val="auto"/>
        </w:rPr>
        <w:t>总书记“先节水后调水、先治污后通水、先环保后用水”的指示精神，全面深化津陕对口协作，将</w:t>
      </w:r>
      <w:r>
        <w:rPr>
          <w:rFonts w:hint="eastAsia" w:ascii="仿宋_GB2312" w:hAnsi="宋体" w:eastAsia="仿宋_GB2312"/>
          <w:color w:val="auto"/>
          <w:szCs w:val="32"/>
        </w:rPr>
        <w:t>为陕南加强生态文明建设、推进节能环保产业发展、深化环境污染治理带来机遇。作为重点生态功能区，中央逐年增加财政转移支付力度，逐步完善中央财政补偿政策，为当地把生态保护转变为可持续发展生产力，实现人与自然的和谐发展创造了条件。</w:t>
      </w:r>
    </w:p>
    <w:p>
      <w:pPr>
        <w:spacing w:line="620" w:lineRule="exact"/>
        <w:ind w:firstLine="627" w:firstLineChars="196"/>
        <w:rPr>
          <w:rFonts w:hint="eastAsia" w:ascii="仿宋_GB2312" w:hAnsi="宋体" w:eastAsia="仿宋_GB2312"/>
          <w:color w:val="auto"/>
          <w:szCs w:val="32"/>
        </w:rPr>
      </w:pPr>
      <w:r>
        <w:rPr>
          <w:rFonts w:hint="eastAsia" w:ascii="仿宋_GB2312" w:eastAsia="仿宋_GB2312"/>
          <w:b/>
          <w:color w:val="auto"/>
          <w:szCs w:val="32"/>
        </w:rPr>
        <w:t>“扶贫攻坚”和“老区振兴”等国家区域规划，为陕南加快发展和全面建成小康带来新机遇。</w:t>
      </w:r>
      <w:r>
        <w:rPr>
          <w:rFonts w:hint="eastAsia" w:ascii="仿宋_GB2312" w:hAnsi="宋体" w:eastAsia="仿宋_GB2312"/>
          <w:bCs/>
          <w:color w:val="auto"/>
          <w:szCs w:val="32"/>
        </w:rPr>
        <w:t>陕南地处秦巴山集中连片特困区，也是川陕革命老区的重要组成部分，中央高度重视区域协调发展，十八届五中全会提出现行标准下农村贫困人口实现脱贫，贫困县全部摘帽，解决区域性整体贫困。</w:t>
      </w:r>
      <w:r>
        <w:rPr>
          <w:rFonts w:hint="eastAsia" w:ascii="仿宋_GB2312" w:eastAsia="仿宋_GB2312"/>
          <w:color w:val="auto"/>
          <w:szCs w:val="32"/>
        </w:rPr>
        <w:t>西部大开发规划、川陕革命老区振兴发展规划、秦巴山片区扶贫攻坚规划、丹江口库区及上游地区相关规划、全国老工业基地调整改造规划等国家区域性规划将陕南全部或部分区县纳入其中，为继续强化生态环境保护、加快基础设施建设、发展特色优势产业及</w:t>
      </w:r>
      <w:r>
        <w:rPr>
          <w:rFonts w:hint="eastAsia" w:ascii="仿宋_GB2312" w:hAnsi="宋体" w:eastAsia="仿宋_GB2312"/>
          <w:bCs/>
          <w:color w:val="auto"/>
          <w:szCs w:val="32"/>
        </w:rPr>
        <w:t>与全省同步够格建成小康社会</w:t>
      </w:r>
      <w:r>
        <w:rPr>
          <w:rFonts w:hint="eastAsia" w:ascii="仿宋_GB2312" w:eastAsia="仿宋_GB2312"/>
          <w:color w:val="auto"/>
          <w:szCs w:val="32"/>
        </w:rPr>
        <w:t>提供了良好的政策机遇</w:t>
      </w:r>
      <w:r>
        <w:rPr>
          <w:rFonts w:hint="eastAsia" w:ascii="仿宋_GB2312" w:hAnsi="宋体" w:eastAsia="仿宋_GB2312"/>
          <w:bCs/>
          <w:color w:val="auto"/>
          <w:szCs w:val="32"/>
        </w:rPr>
        <w:t>。</w:t>
      </w:r>
    </w:p>
    <w:p>
      <w:pPr>
        <w:spacing w:line="620" w:lineRule="exact"/>
        <w:ind w:firstLine="643"/>
        <w:rPr>
          <w:rFonts w:hint="eastAsia" w:ascii="仿宋_GB2312" w:eastAsia="仿宋_GB2312"/>
          <w:bCs/>
          <w:color w:val="auto"/>
          <w:szCs w:val="32"/>
        </w:rPr>
      </w:pPr>
      <w:r>
        <w:rPr>
          <w:rFonts w:hint="eastAsia" w:ascii="仿宋_GB2312" w:eastAsia="仿宋_GB2312"/>
          <w:b/>
          <w:color w:val="auto"/>
          <w:szCs w:val="32"/>
        </w:rPr>
        <w:t>区域协调发展和“一市一策”的不断深化，为陕南增强发展活力和实现可持续发展带来新机遇。</w:t>
      </w:r>
      <w:r>
        <w:rPr>
          <w:rFonts w:hint="eastAsia" w:ascii="仿宋_GB2312" w:eastAsia="仿宋_GB2312"/>
          <w:bCs/>
          <w:color w:val="auto"/>
          <w:szCs w:val="32"/>
        </w:rPr>
        <w:t>“一市一策”是省委、省政府</w:t>
      </w:r>
      <w:r>
        <w:rPr>
          <w:rFonts w:hint="eastAsia" w:ascii="仿宋_GB2312" w:eastAsia="仿宋_GB2312"/>
          <w:bCs/>
          <w:color w:val="auto"/>
        </w:rPr>
        <w:t>在准确把握国情、省情的基础上，科学决策的全省经济社会发展战略和区域协调发展战略</w:t>
      </w:r>
      <w:r>
        <w:rPr>
          <w:rFonts w:hint="eastAsia" w:ascii="仿宋_GB2312" w:eastAsia="仿宋_GB2312"/>
          <w:bCs/>
          <w:color w:val="auto"/>
          <w:szCs w:val="32"/>
        </w:rPr>
        <w:t>，有利于陕南三市依托</w:t>
      </w:r>
      <w:r>
        <w:rPr>
          <w:rFonts w:hint="eastAsia" w:ascii="仿宋_GB2312" w:eastAsia="仿宋_GB2312"/>
          <w:bCs/>
          <w:color w:val="auto"/>
        </w:rPr>
        <w:t>区位特征、资源禀赋和发展基础，充分发挥各自比较优势，制定符合各自特点的发展思路和发展目标。为陕南优化产业空间布局，“短板补齐，长板更长”，较好地实现错位发展、竞相发展，提供了积极有利的政策机遇。</w:t>
      </w:r>
    </w:p>
    <w:p>
      <w:pPr>
        <w:pStyle w:val="2"/>
        <w:keepNext w:val="0"/>
        <w:keepLines w:val="0"/>
        <w:spacing w:before="312" w:beforeLines="100" w:after="312" w:afterLines="100" w:line="620" w:lineRule="exact"/>
        <w:jc w:val="center"/>
        <w:rPr>
          <w:rFonts w:hint="eastAsia" w:ascii="方正大标宋简体" w:hAnsi="黑体" w:eastAsia="方正大标宋简体" w:cs="黑体"/>
          <w:color w:val="auto"/>
        </w:rPr>
      </w:pPr>
      <w:bookmarkStart w:id="80" w:name="_Toc31828"/>
      <w:r>
        <w:rPr>
          <w:rFonts w:hint="eastAsia" w:ascii="方正大标宋简体" w:hAnsi="黑体" w:eastAsia="方正大标宋简体" w:cs="黑体"/>
          <w:color w:val="auto"/>
        </w:rPr>
        <w:t>第二章  总体思路</w:t>
      </w:r>
      <w:bookmarkEnd w:id="80"/>
    </w:p>
    <w:p>
      <w:pPr>
        <w:pStyle w:val="3"/>
        <w:keepNext w:val="0"/>
        <w:keepLines w:val="0"/>
        <w:spacing w:before="156" w:beforeLines="50" w:after="156" w:afterLines="50" w:line="620" w:lineRule="exact"/>
        <w:rPr>
          <w:rFonts w:hint="eastAsia" w:ascii="黑体" w:hAnsi="黑体" w:eastAsia="黑体" w:cs="宋体"/>
          <w:b w:val="0"/>
          <w:color w:val="auto"/>
        </w:rPr>
      </w:pPr>
      <w:bookmarkStart w:id="81" w:name="_Toc18521"/>
      <w:r>
        <w:rPr>
          <w:rFonts w:hint="eastAsia" w:ascii="黑体" w:hAnsi="黑体" w:eastAsia="黑体" w:cs="宋体"/>
          <w:b w:val="0"/>
          <w:color w:val="auto"/>
        </w:rPr>
        <w:t>第一节  指导思想</w:t>
      </w:r>
      <w:bookmarkEnd w:id="81"/>
    </w:p>
    <w:p>
      <w:pPr>
        <w:spacing w:line="620" w:lineRule="exact"/>
        <w:ind w:firstLine="627" w:firstLineChars="196"/>
        <w:rPr>
          <w:rFonts w:ascii="仿宋_GB2312" w:hAnsi="宋体" w:eastAsia="仿宋_GB2312"/>
          <w:color w:val="auto"/>
          <w:szCs w:val="32"/>
        </w:rPr>
      </w:pPr>
      <w:r>
        <w:rPr>
          <w:rFonts w:hint="eastAsia" w:ascii="仿宋_GB2312" w:hAnsi="宋体" w:eastAsia="仿宋_GB2312"/>
          <w:color w:val="auto"/>
          <w:szCs w:val="32"/>
        </w:rPr>
        <w:t>深入贯彻党的十八大和十八届三中、四中、五中全会精神及习近平总书记系列讲话精神，以“四个全面”战略布局为统领，牢固树立“创新、协调、绿色、开放、共享”发展理念，坚持以“追赶超越、转型发展”为主线，按照“保护青山绿水，推广循环模式，实现绿色发展”的思路，着力创新体制机制，推动产业结构优化升级，释放区域发展潜力；着力优化国土空间开发，推进生态建设和环境保护，实现区域可持续发展；着力培育特色优势产业，发展循环经济，提高区域发展水平；着力加强基础设施建设，破解交通等瓶颈制约，促进区域合作和对外开放；着力打赢脱贫攻坚战，推进城乡一体化和基本公共服务均等化，确保全面建成小康社会，开创陕南绿色循环发展新局面。</w:t>
      </w:r>
    </w:p>
    <w:p>
      <w:pPr>
        <w:pStyle w:val="3"/>
        <w:keepNext w:val="0"/>
        <w:keepLines w:val="0"/>
        <w:spacing w:before="156" w:beforeLines="50" w:after="156" w:afterLines="50" w:line="620" w:lineRule="exact"/>
        <w:rPr>
          <w:rFonts w:hint="eastAsia" w:ascii="黑体" w:hAnsi="黑体" w:eastAsia="黑体" w:cs="宋体"/>
          <w:b w:val="0"/>
          <w:color w:val="auto"/>
        </w:rPr>
      </w:pPr>
      <w:bookmarkStart w:id="82" w:name="_Toc29355"/>
      <w:r>
        <w:rPr>
          <w:rFonts w:hint="eastAsia" w:ascii="黑体" w:hAnsi="黑体" w:eastAsia="黑体" w:cs="宋体"/>
          <w:b w:val="0"/>
          <w:color w:val="auto"/>
        </w:rPr>
        <w:t>第二节  基本原则</w:t>
      </w:r>
      <w:bookmarkEnd w:id="82"/>
    </w:p>
    <w:p>
      <w:pPr>
        <w:spacing w:line="620" w:lineRule="exact"/>
        <w:ind w:firstLine="627" w:firstLineChars="196"/>
        <w:rPr>
          <w:rFonts w:hint="eastAsia" w:ascii="仿宋_GB2312" w:hAnsi="宋体" w:eastAsia="仿宋_GB2312"/>
          <w:b/>
          <w:bCs/>
          <w:color w:val="auto"/>
          <w:kern w:val="0"/>
          <w:szCs w:val="32"/>
        </w:rPr>
      </w:pPr>
      <w:r>
        <w:rPr>
          <w:rFonts w:hint="eastAsia" w:ascii="仿宋_GB2312" w:hAnsi="宋体" w:eastAsia="仿宋_GB2312"/>
          <w:b/>
          <w:bCs/>
          <w:color w:val="auto"/>
          <w:kern w:val="0"/>
          <w:szCs w:val="32"/>
        </w:rPr>
        <w:t>绿色引领。</w:t>
      </w:r>
      <w:r>
        <w:rPr>
          <w:rFonts w:hint="eastAsia" w:ascii="仿宋_GB2312" w:eastAsia="仿宋_GB2312"/>
          <w:color w:val="auto"/>
          <w:szCs w:val="32"/>
        </w:rPr>
        <w:t>坚持把</w:t>
      </w:r>
      <w:r>
        <w:rPr>
          <w:rFonts w:ascii="仿宋_GB2312" w:eastAsia="仿宋_GB2312"/>
          <w:color w:val="auto"/>
          <w:szCs w:val="32"/>
        </w:rPr>
        <w:fldChar w:fldCharType="begin"/>
      </w:r>
      <w:r>
        <w:rPr>
          <w:rFonts w:ascii="仿宋_GB2312" w:eastAsia="仿宋_GB2312"/>
          <w:color w:val="auto"/>
          <w:szCs w:val="32"/>
        </w:rPr>
        <w:instrText xml:space="preserve"> HYPERLINK "http://baike.baidu.com/view/1458211.htm" \t "_blank" </w:instrText>
      </w:r>
      <w:r>
        <w:rPr>
          <w:rFonts w:ascii="仿宋_GB2312" w:eastAsia="仿宋_GB2312"/>
          <w:color w:val="auto"/>
          <w:szCs w:val="32"/>
        </w:rPr>
        <w:fldChar w:fldCharType="separate"/>
      </w:r>
      <w:r>
        <w:rPr>
          <w:rFonts w:ascii="仿宋_GB2312" w:eastAsia="仿宋_GB2312"/>
          <w:color w:val="auto"/>
          <w:szCs w:val="32"/>
        </w:rPr>
        <w:t>经济活动</w:t>
      </w:r>
      <w:r>
        <w:rPr>
          <w:rFonts w:ascii="仿宋_GB2312" w:eastAsia="仿宋_GB2312"/>
          <w:color w:val="auto"/>
          <w:szCs w:val="32"/>
        </w:rPr>
        <w:fldChar w:fldCharType="end"/>
      </w:r>
      <w:r>
        <w:rPr>
          <w:rFonts w:ascii="仿宋_GB2312" w:eastAsia="仿宋_GB2312"/>
          <w:color w:val="auto"/>
          <w:szCs w:val="32"/>
        </w:rPr>
        <w:t>过程和结果的</w:t>
      </w:r>
      <w:r>
        <w:rPr>
          <w:rFonts w:hint="eastAsia" w:ascii="仿宋_GB2312" w:eastAsia="仿宋_GB2312"/>
          <w:color w:val="auto"/>
          <w:szCs w:val="32"/>
        </w:rPr>
        <w:t>“</w:t>
      </w:r>
      <w:r>
        <w:rPr>
          <w:rFonts w:ascii="仿宋_GB2312" w:eastAsia="仿宋_GB2312"/>
          <w:color w:val="auto"/>
          <w:szCs w:val="32"/>
        </w:rPr>
        <w:t>绿色化</w:t>
      </w:r>
      <w:r>
        <w:rPr>
          <w:rFonts w:hint="eastAsia" w:ascii="仿宋_GB2312" w:eastAsia="仿宋_GB2312"/>
          <w:color w:val="auto"/>
          <w:szCs w:val="32"/>
        </w:rPr>
        <w:t>”</w:t>
      </w:r>
      <w:r>
        <w:rPr>
          <w:rFonts w:ascii="仿宋_GB2312" w:eastAsia="仿宋_GB2312"/>
          <w:color w:val="auto"/>
          <w:szCs w:val="32"/>
        </w:rPr>
        <w:t>、</w:t>
      </w:r>
      <w:r>
        <w:rPr>
          <w:rFonts w:hint="eastAsia" w:ascii="仿宋_GB2312" w:eastAsia="仿宋_GB2312"/>
          <w:color w:val="auto"/>
          <w:szCs w:val="32"/>
        </w:rPr>
        <w:t>“</w:t>
      </w:r>
      <w:r>
        <w:rPr>
          <w:rFonts w:ascii="仿宋_GB2312" w:eastAsia="仿宋_GB2312"/>
          <w:color w:val="auto"/>
          <w:szCs w:val="32"/>
        </w:rPr>
        <w:t>生态化</w:t>
      </w:r>
      <w:r>
        <w:rPr>
          <w:rFonts w:hint="eastAsia" w:ascii="仿宋_GB2312" w:eastAsia="仿宋_GB2312"/>
          <w:color w:val="auto"/>
          <w:szCs w:val="32"/>
        </w:rPr>
        <w:t>”</w:t>
      </w:r>
      <w:r>
        <w:rPr>
          <w:rFonts w:ascii="仿宋_GB2312" w:eastAsia="仿宋_GB2312"/>
          <w:color w:val="auto"/>
          <w:szCs w:val="32"/>
        </w:rPr>
        <w:t>作为发展的主要内容和途径</w:t>
      </w:r>
      <w:r>
        <w:rPr>
          <w:rFonts w:hint="eastAsia" w:ascii="仿宋_GB2312" w:eastAsia="仿宋_GB2312"/>
          <w:color w:val="auto"/>
          <w:szCs w:val="32"/>
        </w:rPr>
        <w:t>，</w:t>
      </w:r>
      <w:r>
        <w:rPr>
          <w:rFonts w:ascii="仿宋_GB2312" w:eastAsia="仿宋_GB2312"/>
          <w:color w:val="auto"/>
          <w:szCs w:val="32"/>
        </w:rPr>
        <w:t>把实现经济、社会和环境的可持续发展作为目标</w:t>
      </w:r>
      <w:r>
        <w:rPr>
          <w:rFonts w:hint="eastAsia" w:ascii="仿宋_GB2312" w:eastAsia="仿宋_GB2312"/>
          <w:color w:val="auto"/>
          <w:szCs w:val="32"/>
        </w:rPr>
        <w:t>，把</w:t>
      </w:r>
      <w:r>
        <w:rPr>
          <w:rFonts w:ascii="仿宋_GB2312" w:eastAsia="仿宋_GB2312"/>
          <w:color w:val="auto"/>
          <w:szCs w:val="32"/>
        </w:rPr>
        <w:t>环境资源作为社会经济发展的内在要素</w:t>
      </w:r>
      <w:r>
        <w:rPr>
          <w:rFonts w:hint="eastAsia" w:ascii="仿宋_GB2312" w:eastAsia="仿宋_GB2312"/>
          <w:color w:val="auto"/>
          <w:szCs w:val="32"/>
        </w:rPr>
        <w:t>，实现绿色发展。</w:t>
      </w:r>
    </w:p>
    <w:p>
      <w:pPr>
        <w:spacing w:line="620" w:lineRule="exact"/>
        <w:ind w:firstLine="627" w:firstLineChars="196"/>
        <w:rPr>
          <w:rFonts w:hint="eastAsia" w:ascii="仿宋_GB2312" w:hAnsi="宋体" w:eastAsia="仿宋_GB2312"/>
          <w:b/>
          <w:bCs/>
          <w:color w:val="auto"/>
          <w:kern w:val="0"/>
          <w:szCs w:val="32"/>
        </w:rPr>
      </w:pPr>
      <w:r>
        <w:rPr>
          <w:rFonts w:hint="eastAsia" w:ascii="仿宋_GB2312" w:hAnsi="宋体" w:eastAsia="仿宋_GB2312"/>
          <w:b/>
          <w:bCs/>
          <w:color w:val="auto"/>
          <w:kern w:val="0"/>
          <w:szCs w:val="32"/>
        </w:rPr>
        <w:t>保护优先。</w:t>
      </w:r>
      <w:r>
        <w:rPr>
          <w:rFonts w:hint="eastAsia" w:ascii="仿宋_GB2312" w:hAnsi="仿宋" w:eastAsia="仿宋_GB2312"/>
          <w:bCs/>
          <w:color w:val="auto"/>
          <w:kern w:val="0"/>
          <w:szCs w:val="32"/>
        </w:rPr>
        <w:t>牢固树立生态文明理念，加强生态环境保护和生态建设，节约集约利用资源，大力推进清洁生产和绿色消费，</w:t>
      </w:r>
      <w:r>
        <w:rPr>
          <w:rFonts w:hint="eastAsia" w:ascii="仿宋_GB2312" w:hAnsi="仿宋" w:eastAsia="仿宋_GB2312"/>
          <w:bCs/>
          <w:color w:val="auto"/>
          <w:szCs w:val="32"/>
        </w:rPr>
        <w:t>建立健全严格的生态环境保护制度，</w:t>
      </w:r>
      <w:r>
        <w:rPr>
          <w:rFonts w:hint="eastAsia" w:ascii="仿宋_GB2312" w:hAnsi="仿宋" w:eastAsia="仿宋_GB2312"/>
          <w:bCs/>
          <w:color w:val="auto"/>
          <w:kern w:val="0"/>
          <w:szCs w:val="32"/>
        </w:rPr>
        <w:t>确保</w:t>
      </w:r>
      <w:r>
        <w:rPr>
          <w:rFonts w:hint="eastAsia" w:ascii="仿宋_GB2312" w:hAnsi="仿宋" w:eastAsia="仿宋_GB2312"/>
          <w:bCs/>
          <w:color w:val="auto"/>
          <w:spacing w:val="8"/>
          <w:szCs w:val="32"/>
        </w:rPr>
        <w:t>南水北调</w:t>
      </w:r>
      <w:r>
        <w:rPr>
          <w:rFonts w:hint="eastAsia" w:ascii="仿宋_GB2312" w:hAnsi="仿宋" w:eastAsia="仿宋_GB2312"/>
          <w:bCs/>
          <w:color w:val="auto"/>
          <w:szCs w:val="32"/>
        </w:rPr>
        <w:t>中线工程水源地的</w:t>
      </w:r>
      <w:r>
        <w:rPr>
          <w:rFonts w:hint="eastAsia" w:ascii="仿宋_GB2312" w:hAnsi="仿宋" w:eastAsia="仿宋_GB2312"/>
          <w:bCs/>
          <w:color w:val="auto"/>
          <w:kern w:val="0"/>
          <w:szCs w:val="32"/>
        </w:rPr>
        <w:t>生态安全，实现低碳发展。</w:t>
      </w:r>
    </w:p>
    <w:p>
      <w:pPr>
        <w:spacing w:line="620" w:lineRule="exact"/>
        <w:ind w:firstLine="627" w:firstLineChars="196"/>
        <w:rPr>
          <w:rFonts w:hint="eastAsia" w:ascii="仿宋_GB2312" w:hAnsi="宋体" w:eastAsia="仿宋_GB2312"/>
          <w:b/>
          <w:bCs/>
          <w:color w:val="auto"/>
          <w:kern w:val="0"/>
          <w:szCs w:val="32"/>
        </w:rPr>
      </w:pPr>
      <w:r>
        <w:rPr>
          <w:rFonts w:hint="eastAsia" w:ascii="仿宋_GB2312" w:hAnsi="宋体" w:eastAsia="仿宋_GB2312"/>
          <w:b/>
          <w:bCs/>
          <w:color w:val="auto"/>
          <w:kern w:val="0"/>
          <w:szCs w:val="32"/>
        </w:rPr>
        <w:t>循环支撑。</w:t>
      </w:r>
      <w:r>
        <w:rPr>
          <w:rFonts w:hint="eastAsia" w:ascii="仿宋_GB2312" w:hAnsi="宋体" w:eastAsia="仿宋_GB2312"/>
          <w:color w:val="auto"/>
          <w:kern w:val="0"/>
          <w:szCs w:val="32"/>
        </w:rPr>
        <w:t>坚持</w:t>
      </w:r>
      <w:r>
        <w:rPr>
          <w:rFonts w:hint="eastAsia" w:ascii="仿宋_GB2312" w:hAnsi="宋体" w:eastAsia="仿宋_GB2312"/>
          <w:color w:val="auto"/>
          <w:szCs w:val="32"/>
        </w:rPr>
        <w:t>走内涵集约发展之路，</w:t>
      </w:r>
      <w:r>
        <w:rPr>
          <w:rFonts w:ascii="仿宋_GB2312" w:eastAsia="仿宋_GB2312"/>
          <w:color w:val="auto"/>
          <w:szCs w:val="32"/>
        </w:rPr>
        <w:t>以资源高效利用和循环利用为核心，以</w:t>
      </w:r>
      <w:r>
        <w:rPr>
          <w:rFonts w:hint="eastAsia" w:ascii="仿宋_GB2312" w:eastAsia="仿宋_GB2312"/>
          <w:color w:val="auto"/>
          <w:szCs w:val="32"/>
        </w:rPr>
        <w:t>“</w:t>
      </w:r>
      <w:r>
        <w:rPr>
          <w:rFonts w:ascii="仿宋_GB2312" w:eastAsia="仿宋_GB2312"/>
          <w:color w:val="auto"/>
          <w:szCs w:val="32"/>
        </w:rPr>
        <w:t>减量化、再利用、资源化</w:t>
      </w:r>
      <w:r>
        <w:rPr>
          <w:rFonts w:hint="eastAsia" w:ascii="仿宋_GB2312" w:eastAsia="仿宋_GB2312"/>
          <w:color w:val="auto"/>
          <w:szCs w:val="32"/>
        </w:rPr>
        <w:t>”</w:t>
      </w:r>
      <w:r>
        <w:rPr>
          <w:rFonts w:ascii="仿宋_GB2312" w:eastAsia="仿宋_GB2312"/>
          <w:color w:val="auto"/>
          <w:szCs w:val="32"/>
        </w:rPr>
        <w:t>为原则，以低消耗、低排放、高效率为基本特征，</w:t>
      </w:r>
      <w:r>
        <w:rPr>
          <w:rFonts w:hint="eastAsia" w:ascii="仿宋_GB2312" w:eastAsia="仿宋_GB2312"/>
          <w:color w:val="auto"/>
          <w:szCs w:val="32"/>
        </w:rPr>
        <w:t>大力发展循环经济，构建资源节约、环境友好的生产方式及消费模式，实现循环发展。</w:t>
      </w:r>
    </w:p>
    <w:p>
      <w:pPr>
        <w:spacing w:line="620" w:lineRule="exact"/>
        <w:ind w:firstLine="643"/>
        <w:jc w:val="left"/>
        <w:rPr>
          <w:rFonts w:hint="eastAsia" w:ascii="仿宋_GB2312" w:hAnsi="仿宋" w:eastAsia="仿宋_GB2312"/>
          <w:color w:val="auto"/>
          <w:kern w:val="0"/>
          <w:szCs w:val="32"/>
        </w:rPr>
      </w:pPr>
      <w:r>
        <w:rPr>
          <w:rFonts w:hint="eastAsia" w:ascii="仿宋_GB2312" w:hAnsi="宋体" w:eastAsia="仿宋_GB2312"/>
          <w:b/>
          <w:bCs/>
          <w:color w:val="auto"/>
          <w:kern w:val="0"/>
          <w:szCs w:val="32"/>
        </w:rPr>
        <w:t>民生保障。</w:t>
      </w:r>
      <w:r>
        <w:rPr>
          <w:rFonts w:hint="eastAsia" w:ascii="仿宋_GB2312" w:hAnsi="仿宋" w:eastAsia="仿宋_GB2312"/>
          <w:color w:val="auto"/>
          <w:kern w:val="0"/>
          <w:szCs w:val="32"/>
        </w:rPr>
        <w:t>坚持把改善民生作为一切工作的出发点和落脚点，严格贯彻实施中央“五个一批”、“六个精准”脱贫攻坚战略部署，确保2020年现行标准下农村贫困人口全部脱贫和贫困县全部摘帽，着力推进基本公共服务均等化和维护社会公平正义，让发展成果更多更公平惠及陕南人民，实现共享发展。</w:t>
      </w:r>
    </w:p>
    <w:p>
      <w:pPr>
        <w:spacing w:line="620" w:lineRule="exact"/>
        <w:ind w:firstLine="627" w:firstLineChars="196"/>
        <w:rPr>
          <w:rFonts w:hint="eastAsia" w:ascii="仿宋_GB2312" w:eastAsia="仿宋_GB2312"/>
          <w:b/>
          <w:bCs/>
          <w:color w:val="auto"/>
          <w:szCs w:val="32"/>
        </w:rPr>
      </w:pPr>
      <w:r>
        <w:rPr>
          <w:rFonts w:hint="eastAsia" w:ascii="仿宋_GB2312" w:eastAsia="仿宋_GB2312"/>
          <w:b/>
          <w:bCs/>
          <w:color w:val="auto"/>
          <w:szCs w:val="32"/>
        </w:rPr>
        <w:t>开放带动。</w:t>
      </w:r>
      <w:r>
        <w:rPr>
          <w:rFonts w:hint="eastAsia" w:ascii="仿宋_GB2312" w:hAnsi="仿宋" w:eastAsia="仿宋_GB2312"/>
          <w:color w:val="auto"/>
          <w:kern w:val="0"/>
          <w:szCs w:val="32"/>
        </w:rPr>
        <w:t>依托地缘优势，积极融入国家“一带一路”、长江经济带战略，深化津陕对口协作，加强与北京、天津地区的交流合作，实施创新驱动发展战略，推进重点领域和关键环节改革，加快建设开放型市场经济体制，以开放、改革、创新应对经济新常态、汇聚发展新动能，实现加快发展。</w:t>
      </w:r>
    </w:p>
    <w:p>
      <w:pPr>
        <w:pStyle w:val="3"/>
        <w:keepNext w:val="0"/>
        <w:keepLines w:val="0"/>
        <w:spacing w:before="156" w:beforeLines="50" w:after="156" w:afterLines="50" w:line="620" w:lineRule="exact"/>
        <w:rPr>
          <w:rFonts w:hint="eastAsia" w:ascii="黑体" w:hAnsi="黑体" w:eastAsia="黑体" w:cs="宋体"/>
          <w:b w:val="0"/>
          <w:color w:val="auto"/>
        </w:rPr>
      </w:pPr>
      <w:bookmarkStart w:id="83" w:name="_Toc24584"/>
      <w:r>
        <w:rPr>
          <w:rFonts w:hint="eastAsia" w:ascii="黑体" w:hAnsi="黑体" w:eastAsia="黑体" w:cs="宋体"/>
          <w:b w:val="0"/>
          <w:color w:val="auto"/>
        </w:rPr>
        <w:t>第三节  战略定位</w:t>
      </w:r>
      <w:bookmarkEnd w:id="83"/>
    </w:p>
    <w:p>
      <w:pPr>
        <w:spacing w:line="620" w:lineRule="exact"/>
        <w:ind w:firstLine="643"/>
        <w:rPr>
          <w:rFonts w:hint="eastAsia" w:ascii="仿宋" w:hAnsi="仿宋" w:cs="仿宋"/>
          <w:color w:val="auto"/>
          <w:szCs w:val="32"/>
        </w:rPr>
      </w:pPr>
      <w:r>
        <w:rPr>
          <w:rFonts w:hint="eastAsia" w:ascii="仿宋_GB2312" w:hAnsi="仿宋" w:eastAsia="仿宋_GB2312"/>
          <w:b/>
          <w:color w:val="auto"/>
          <w:kern w:val="0"/>
          <w:szCs w:val="32"/>
        </w:rPr>
        <w:t>国家生态文明示范区。</w:t>
      </w:r>
      <w:r>
        <w:rPr>
          <w:rFonts w:hint="eastAsia" w:ascii="仿宋_GB2312" w:hAnsi="宋体" w:eastAsia="仿宋_GB2312"/>
          <w:color w:val="auto"/>
          <w:szCs w:val="32"/>
        </w:rPr>
        <w:t>统筹推进经济社会发展和生态环境保护，</w:t>
      </w:r>
      <w:r>
        <w:rPr>
          <w:rFonts w:ascii="仿宋_GB2312" w:eastAsia="仿宋_GB2312"/>
          <w:color w:val="auto"/>
          <w:szCs w:val="32"/>
        </w:rPr>
        <w:t>在</w:t>
      </w:r>
      <w:r>
        <w:rPr>
          <w:rFonts w:hint="eastAsia" w:ascii="仿宋_GB2312" w:eastAsia="仿宋_GB2312"/>
          <w:color w:val="auto"/>
          <w:szCs w:val="32"/>
        </w:rPr>
        <w:t>实现</w:t>
      </w:r>
      <w:r>
        <w:rPr>
          <w:rFonts w:ascii="仿宋_GB2312" w:eastAsia="仿宋_GB2312"/>
          <w:color w:val="auto"/>
          <w:szCs w:val="32"/>
        </w:rPr>
        <w:t>经济</w:t>
      </w:r>
      <w:r>
        <w:rPr>
          <w:rFonts w:hint="eastAsia" w:ascii="仿宋_GB2312" w:eastAsia="仿宋_GB2312"/>
          <w:color w:val="auto"/>
          <w:szCs w:val="32"/>
        </w:rPr>
        <w:t>较快</w:t>
      </w:r>
      <w:r>
        <w:rPr>
          <w:rFonts w:ascii="仿宋_GB2312" w:eastAsia="仿宋_GB2312"/>
          <w:color w:val="auto"/>
          <w:szCs w:val="32"/>
        </w:rPr>
        <w:t>增长的同时，</w:t>
      </w:r>
      <w:r>
        <w:rPr>
          <w:rFonts w:hint="eastAsia" w:ascii="仿宋_GB2312" w:hAnsi="宋体" w:eastAsia="仿宋_GB2312"/>
          <w:color w:val="auto"/>
          <w:szCs w:val="32"/>
        </w:rPr>
        <w:t>保持和促进生态环境改善，</w:t>
      </w:r>
      <w:r>
        <w:rPr>
          <w:rFonts w:hint="eastAsia" w:ascii="仿宋_GB2312" w:eastAsia="仿宋_GB2312"/>
          <w:color w:val="auto"/>
          <w:szCs w:val="32"/>
        </w:rPr>
        <w:t>实现人与自然、经济与社会的和谐发展。</w:t>
      </w:r>
      <w:r>
        <w:rPr>
          <w:rFonts w:hint="eastAsia" w:ascii="仿宋_GB2312" w:hAnsi="仿宋" w:eastAsia="仿宋_GB2312" w:cs="仿宋_GB2312"/>
          <w:color w:val="auto"/>
          <w:szCs w:val="32"/>
        </w:rPr>
        <w:t>全面促进资源节约利用，大力推进绿色发展、循环发展和低碳发展，构建生态经济化和经济生态化可持续发展新模式，巩固强化国家重要的生态安全屏障地位，建立和完善生态补偿机制，维护生物多样性，增强水源涵养能力，确保国家南水北调中线水源区水质安全，建设资源节约、环境友好型新陕南。</w:t>
      </w:r>
    </w:p>
    <w:p>
      <w:pPr>
        <w:spacing w:line="620" w:lineRule="exact"/>
        <w:ind w:firstLine="627" w:firstLineChars="196"/>
        <w:rPr>
          <w:rFonts w:hint="eastAsia" w:ascii="仿宋_GB2312" w:hAnsi="仿宋" w:eastAsia="仿宋_GB2312"/>
          <w:color w:val="auto"/>
          <w:szCs w:val="32"/>
        </w:rPr>
      </w:pPr>
      <w:r>
        <w:rPr>
          <w:rFonts w:hint="eastAsia" w:ascii="仿宋_GB2312" w:hAnsi="宋体" w:eastAsia="仿宋_GB2312"/>
          <w:b/>
          <w:bCs/>
          <w:color w:val="auto"/>
          <w:szCs w:val="32"/>
        </w:rPr>
        <w:t>国家循环经济发展示范区。</w:t>
      </w:r>
      <w:r>
        <w:rPr>
          <w:rFonts w:hint="eastAsia" w:ascii="仿宋_GB2312" w:hAnsi="仿宋" w:eastAsia="仿宋_GB2312" w:cs="仿宋_GB2312"/>
          <w:color w:val="auto"/>
          <w:szCs w:val="32"/>
        </w:rPr>
        <w:t>按照减量化、再利用、资源化的原则，</w:t>
      </w:r>
      <w:r>
        <w:rPr>
          <w:rFonts w:hint="eastAsia" w:ascii="仿宋_GB2312" w:hAnsi="仿宋_GB2312" w:eastAsia="仿宋_GB2312" w:cs="仿宋_GB2312"/>
          <w:color w:val="auto"/>
          <w:szCs w:val="32"/>
        </w:rPr>
        <w:t>建立</w:t>
      </w:r>
      <w:r>
        <w:rPr>
          <w:rFonts w:hint="eastAsia" w:ascii="仿宋_GB2312" w:hAnsi="仿宋" w:eastAsia="仿宋_GB2312" w:cs="仿宋_GB2312"/>
          <w:color w:val="auto"/>
          <w:szCs w:val="32"/>
        </w:rPr>
        <w:t>集循环型农业、循环型工业、循环型服务业和循环型社会“四位一体”的循环经济体系。</w:t>
      </w:r>
      <w:r>
        <w:rPr>
          <w:rFonts w:ascii="仿宋_GB2312" w:hAnsi="仿宋" w:eastAsia="仿宋_GB2312" w:cs="仿宋_GB2312"/>
          <w:color w:val="auto"/>
          <w:szCs w:val="32"/>
        </w:rPr>
        <w:t>建立发展循环经济的长效机制，</w:t>
      </w:r>
      <w:r>
        <w:rPr>
          <w:rFonts w:hint="eastAsia" w:ascii="仿宋_GB2312" w:hAnsi="仿宋" w:eastAsia="仿宋_GB2312" w:cs="仿宋_GB2312"/>
          <w:color w:val="auto"/>
          <w:szCs w:val="32"/>
        </w:rPr>
        <w:t>推进循环经济新技术、新设备的推广和应用。以装备制造、新材料、生物产业、清洁能源为重点，延长循环经济产业链，</w:t>
      </w:r>
      <w:r>
        <w:rPr>
          <w:rFonts w:hint="eastAsia" w:ascii="仿宋_GB2312" w:hAnsi="仿宋_GB2312" w:eastAsia="仿宋_GB2312" w:cs="仿宋_GB2312"/>
          <w:color w:val="auto"/>
          <w:szCs w:val="32"/>
        </w:rPr>
        <w:t>实施园区循环化改造、废弃物综合利用等重点工程。</w:t>
      </w:r>
      <w:r>
        <w:rPr>
          <w:rFonts w:ascii="仿宋_GB2312" w:hAnsi="仿宋" w:eastAsia="仿宋_GB2312" w:cs="仿宋_GB2312"/>
          <w:color w:val="auto"/>
          <w:szCs w:val="32"/>
        </w:rPr>
        <w:t>组</w:t>
      </w:r>
      <w:r>
        <w:rPr>
          <w:rFonts w:ascii="仿宋_GB2312" w:hAnsi="仿宋_GB2312" w:eastAsia="仿宋_GB2312" w:cs="仿宋_GB2312"/>
          <w:color w:val="auto"/>
          <w:szCs w:val="32"/>
        </w:rPr>
        <w:t>织开展“再生资源回收体系建设试点”、“餐厨垃圾资源化利用和无害化处理试点”以及“国家园区循环化改造示范试点”等工作</w:t>
      </w:r>
      <w:r>
        <w:rPr>
          <w:rFonts w:hint="eastAsia" w:ascii="仿宋_GB2312" w:hAnsi="仿宋_GB2312" w:eastAsia="仿宋_GB2312" w:cs="仿宋_GB2312"/>
          <w:color w:val="auto"/>
          <w:szCs w:val="32"/>
        </w:rPr>
        <w:t>，推进国家循环经济示范城市创建。</w:t>
      </w:r>
    </w:p>
    <w:p>
      <w:pPr>
        <w:spacing w:line="620" w:lineRule="exact"/>
        <w:ind w:firstLine="643"/>
        <w:rPr>
          <w:rFonts w:hint="eastAsia" w:ascii="仿宋_GB2312" w:hAnsi="仿宋" w:eastAsia="仿宋_GB2312"/>
          <w:color w:val="auto"/>
          <w:szCs w:val="32"/>
        </w:rPr>
      </w:pPr>
      <w:r>
        <w:rPr>
          <w:rFonts w:hint="eastAsia" w:ascii="仿宋_GB2312" w:hAnsi="宋体" w:eastAsia="仿宋_GB2312"/>
          <w:b/>
          <w:bCs/>
          <w:color w:val="auto"/>
          <w:szCs w:val="32"/>
        </w:rPr>
        <w:t>国家有机农产品供给区。</w:t>
      </w:r>
      <w:r>
        <w:rPr>
          <w:rFonts w:hint="eastAsia" w:ascii="仿宋_GB2312" w:hAnsi="宋体" w:eastAsia="仿宋_GB2312"/>
          <w:color w:val="auto"/>
          <w:szCs w:val="32"/>
        </w:rPr>
        <w:t>充分发挥生态环境优势，以猪、药、茶、菜、果等特色产业为重点，</w:t>
      </w:r>
      <w:r>
        <w:rPr>
          <w:rFonts w:hint="eastAsia" w:ascii="仿宋_GB2312" w:hAnsi="仿宋_GB2312" w:eastAsia="仿宋_GB2312" w:cs="仿宋_GB2312"/>
          <w:color w:val="auto"/>
          <w:szCs w:val="32"/>
        </w:rPr>
        <w:t>大力发展绿色生态高效农业，以信息化、智能化、标准化、品牌化推动特色有机农产品基地建设。积极开展“互联网+”现代农业行动，发展农产品商贸流通产业、精深加工产业，推进农产品品牌化建设。积极推广畜禽规模化养殖、沼气生产、农家肥积造一体化发展模式，提高有机肥施用比例和肥料利用率，打造国内一流的有机农产品供给区。</w:t>
      </w:r>
    </w:p>
    <w:p>
      <w:pPr>
        <w:spacing w:line="620" w:lineRule="exact"/>
        <w:ind w:firstLine="627" w:firstLineChars="196"/>
        <w:rPr>
          <w:rFonts w:hint="eastAsia" w:ascii="仿宋_GB2312" w:hAnsi="仿宋" w:eastAsia="仿宋_GB2312"/>
          <w:color w:val="auto"/>
          <w:szCs w:val="32"/>
        </w:rPr>
      </w:pPr>
      <w:r>
        <w:rPr>
          <w:rFonts w:hint="eastAsia" w:ascii="仿宋_GB2312" w:hAnsi="仿宋" w:eastAsia="仿宋_GB2312" w:cs="仿宋_GB2312"/>
          <w:b/>
          <w:color w:val="auto"/>
          <w:szCs w:val="32"/>
        </w:rPr>
        <w:t>“丝路”生态文化旅游目的地。</w:t>
      </w:r>
      <w:r>
        <w:rPr>
          <w:rFonts w:hint="eastAsia" w:ascii="仿宋_GB2312" w:hAnsi="仿宋" w:eastAsia="仿宋_GB2312" w:cs="仿宋_GB2312"/>
          <w:color w:val="auto"/>
          <w:szCs w:val="32"/>
        </w:rPr>
        <w:t>大力保护和深度挖掘开发</w:t>
      </w:r>
      <w:r>
        <w:rPr>
          <w:rFonts w:hint="eastAsia" w:ascii="仿宋_GB2312" w:eastAsia="仿宋_GB2312"/>
          <w:color w:val="auto"/>
          <w:szCs w:val="32"/>
        </w:rPr>
        <w:t>大秦岭、大巴山</w:t>
      </w:r>
      <w:r>
        <w:rPr>
          <w:rFonts w:hint="eastAsia" w:ascii="仿宋_GB2312" w:hAnsi="仿宋" w:eastAsia="仿宋_GB2312" w:cs="仿宋_GB2312"/>
          <w:color w:val="auto"/>
          <w:szCs w:val="32"/>
        </w:rPr>
        <w:t>生态文化资源，着力发展山水生态游、历史文化游和红色体验游，</w:t>
      </w:r>
      <w:r>
        <w:rPr>
          <w:rFonts w:hint="eastAsia" w:ascii="仿宋_GB2312" w:hAnsi="仿宋" w:eastAsia="仿宋_GB2312"/>
          <w:color w:val="auto"/>
          <w:szCs w:val="32"/>
        </w:rPr>
        <w:t>推动文化产业与旅游产业融合发展。</w:t>
      </w:r>
      <w:r>
        <w:rPr>
          <w:rFonts w:hint="eastAsia" w:ascii="仿宋_GB2312" w:hAnsi="仿宋" w:eastAsia="仿宋_GB2312" w:cs="仿宋_GB2312"/>
          <w:color w:val="auto"/>
          <w:szCs w:val="32"/>
        </w:rPr>
        <w:t>探索</w:t>
      </w:r>
      <w:r>
        <w:rPr>
          <w:rFonts w:hint="eastAsia" w:ascii="仿宋_GB2312" w:hAnsi="仿宋" w:eastAsia="仿宋_GB2312"/>
          <w:color w:val="auto"/>
          <w:szCs w:val="32"/>
        </w:rPr>
        <w:t>与毗邻市县共同开发旅游景区和</w:t>
      </w:r>
      <w:r>
        <w:rPr>
          <w:rFonts w:hint="eastAsia" w:ascii="仿宋_GB2312" w:eastAsia="仿宋_GB2312"/>
          <w:color w:val="auto"/>
          <w:szCs w:val="32"/>
        </w:rPr>
        <w:t>旅游线路，打通连接周边地区重点旅游景区断头路</w:t>
      </w:r>
      <w:r>
        <w:rPr>
          <w:rFonts w:hint="eastAsia" w:ascii="仿宋_GB2312" w:hAnsi="仿宋" w:eastAsia="仿宋_GB2312" w:cs="仿宋_GB2312"/>
          <w:color w:val="auto"/>
          <w:szCs w:val="32"/>
        </w:rPr>
        <w:t>，完善旅游服务体系，提升精品旅游景区档次</w:t>
      </w:r>
      <w:r>
        <w:rPr>
          <w:rFonts w:hint="eastAsia" w:ascii="仿宋_GB2312" w:hAnsi="仿宋" w:eastAsia="仿宋_GB2312"/>
          <w:color w:val="auto"/>
          <w:szCs w:val="32"/>
        </w:rPr>
        <w:t>，</w:t>
      </w:r>
      <w:r>
        <w:rPr>
          <w:rFonts w:hint="eastAsia" w:ascii="仿宋_GB2312" w:eastAsia="仿宋_GB2312"/>
          <w:color w:val="auto"/>
          <w:szCs w:val="32"/>
        </w:rPr>
        <w:t>联建无障碍旅游区</w:t>
      </w:r>
      <w:r>
        <w:rPr>
          <w:rFonts w:hint="eastAsia" w:ascii="仿宋_GB2312" w:hAnsi="仿宋" w:eastAsia="仿宋_GB2312"/>
          <w:color w:val="auto"/>
          <w:szCs w:val="32"/>
        </w:rPr>
        <w:t>。</w:t>
      </w:r>
      <w:r>
        <w:rPr>
          <w:rFonts w:hint="eastAsia" w:ascii="仿宋_GB2312" w:eastAsia="仿宋_GB2312"/>
          <w:color w:val="auto"/>
          <w:szCs w:val="32"/>
        </w:rPr>
        <w:t>全面融入</w:t>
      </w:r>
      <w:r>
        <w:rPr>
          <w:rFonts w:ascii="仿宋_GB2312" w:eastAsia="仿宋_GB2312"/>
          <w:color w:val="auto"/>
          <w:szCs w:val="32"/>
        </w:rPr>
        <w:fldChar w:fldCharType="begin"/>
      </w:r>
      <w:r>
        <w:rPr>
          <w:rFonts w:ascii="仿宋_GB2312" w:eastAsia="仿宋_GB2312"/>
          <w:color w:val="auto"/>
          <w:szCs w:val="32"/>
        </w:rPr>
        <w:instrText xml:space="preserve"> HYPERLINK "http://baike.baidu.com/subview/1239/5028598.htm" \t "_blank" </w:instrText>
      </w:r>
      <w:r>
        <w:rPr>
          <w:rFonts w:ascii="仿宋_GB2312" w:eastAsia="仿宋_GB2312"/>
          <w:color w:val="auto"/>
          <w:szCs w:val="32"/>
        </w:rPr>
        <w:fldChar w:fldCharType="separate"/>
      </w:r>
      <w:r>
        <w:rPr>
          <w:rFonts w:ascii="仿宋_GB2312" w:eastAsia="仿宋_GB2312"/>
          <w:color w:val="auto"/>
          <w:szCs w:val="32"/>
        </w:rPr>
        <w:t>丝绸之路</w:t>
      </w:r>
      <w:r>
        <w:rPr>
          <w:rFonts w:ascii="仿宋_GB2312" w:eastAsia="仿宋_GB2312"/>
          <w:color w:val="auto"/>
          <w:szCs w:val="32"/>
        </w:rPr>
        <w:fldChar w:fldCharType="end"/>
      </w:r>
      <w:r>
        <w:rPr>
          <w:rFonts w:ascii="仿宋_GB2312" w:eastAsia="仿宋_GB2312"/>
          <w:color w:val="auto"/>
          <w:szCs w:val="32"/>
        </w:rPr>
        <w:t>沿线地区</w:t>
      </w:r>
      <w:r>
        <w:rPr>
          <w:rFonts w:hint="eastAsia" w:ascii="仿宋_GB2312" w:eastAsia="仿宋_GB2312"/>
          <w:color w:val="auto"/>
          <w:szCs w:val="32"/>
        </w:rPr>
        <w:t>文化交流和</w:t>
      </w:r>
      <w:r>
        <w:rPr>
          <w:rFonts w:ascii="仿宋_GB2312" w:eastAsia="仿宋_GB2312"/>
          <w:color w:val="auto"/>
          <w:szCs w:val="32"/>
        </w:rPr>
        <w:t>旅游一体化发展</w:t>
      </w:r>
      <w:r>
        <w:rPr>
          <w:rFonts w:hint="eastAsia" w:ascii="仿宋_GB2312" w:eastAsia="仿宋_GB2312"/>
          <w:color w:val="auto"/>
          <w:szCs w:val="32"/>
        </w:rPr>
        <w:t>，着</w:t>
      </w:r>
      <w:r>
        <w:rPr>
          <w:rFonts w:hint="eastAsia" w:ascii="仿宋_GB2312" w:hAnsi="仿宋" w:eastAsia="仿宋_GB2312"/>
          <w:color w:val="auto"/>
          <w:szCs w:val="32"/>
        </w:rPr>
        <w:t>力打造丝路生态文化旅游目的地。</w:t>
      </w:r>
    </w:p>
    <w:p>
      <w:pPr>
        <w:spacing w:line="620" w:lineRule="exact"/>
        <w:ind w:firstLine="643"/>
        <w:rPr>
          <w:rFonts w:hint="eastAsia" w:ascii="仿宋_GB2312" w:hAnsi="仿宋" w:eastAsia="仿宋_GB2312"/>
          <w:color w:val="auto"/>
          <w:szCs w:val="32"/>
        </w:rPr>
      </w:pPr>
      <w:r>
        <w:rPr>
          <w:rFonts w:hint="eastAsia" w:ascii="仿宋_GB2312" w:hAnsi="仿宋" w:eastAsia="仿宋_GB2312" w:cs="仿宋_GB2312"/>
          <w:b/>
          <w:color w:val="auto"/>
          <w:szCs w:val="32"/>
        </w:rPr>
        <w:t>国家精准脱贫攻坚示范区。</w:t>
      </w:r>
      <w:r>
        <w:rPr>
          <w:rFonts w:hint="eastAsia" w:ascii="仿宋_GB2312" w:hAnsi="宋体" w:eastAsia="仿宋_GB2312"/>
          <w:color w:val="auto"/>
          <w:szCs w:val="32"/>
        </w:rPr>
        <w:t>弘扬川陕革命老区精神，加大扶贫攻坚力度，在协同推进新型工业化、信息化、城镇化、农业现代化和绿色化中谋划扶贫开发和老区振兴。贯彻中省脱贫攻坚战略部署，坚决打赢脱贫攻坚战,按照扶持对象精准、项目安排精准、资金使用精准、措施到户精准、因村派人精准、脱贫成效精准的要求,探</w:t>
      </w:r>
      <w:r>
        <w:rPr>
          <w:rFonts w:hint="eastAsia" w:ascii="仿宋_GB2312" w:hAnsi="仿宋" w:eastAsia="仿宋_GB2312"/>
          <w:color w:val="auto"/>
          <w:szCs w:val="32"/>
        </w:rPr>
        <w:t>索实施产业带动、移民搬迁、教育帮扶、生态补偿、兜底保障等多种扶贫模式，不断提高经济发展和精准扶贫开发的科技含量，走出一条区域开发带动精准脱贫、精准脱贫促进区域开发的新路子。</w:t>
      </w:r>
    </w:p>
    <w:p>
      <w:pPr>
        <w:pStyle w:val="3"/>
        <w:keepNext w:val="0"/>
        <w:keepLines w:val="0"/>
        <w:spacing w:before="156" w:beforeLines="50" w:after="156" w:afterLines="50" w:line="620" w:lineRule="exact"/>
        <w:rPr>
          <w:rFonts w:hint="eastAsia" w:ascii="黑体" w:hAnsi="黑体" w:eastAsia="黑体" w:cs="宋体"/>
          <w:b w:val="0"/>
          <w:color w:val="auto"/>
        </w:rPr>
      </w:pPr>
      <w:bookmarkStart w:id="84" w:name="_Toc19624"/>
      <w:r>
        <w:rPr>
          <w:rFonts w:hint="eastAsia" w:ascii="黑体" w:hAnsi="黑体" w:eastAsia="黑体" w:cs="宋体"/>
          <w:b w:val="0"/>
          <w:color w:val="auto"/>
        </w:rPr>
        <w:t>第四节  发展目标</w:t>
      </w:r>
      <w:bookmarkEnd w:id="84"/>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
    <w:bookmarkEnd w:id="73"/>
    <w:bookmarkEnd w:id="74"/>
    <w:bookmarkEnd w:id="75"/>
    <w:bookmarkEnd w:id="76"/>
    <w:bookmarkEnd w:id="77"/>
    <w:p>
      <w:pPr>
        <w:spacing w:line="620" w:lineRule="exact"/>
        <w:ind w:firstLine="640"/>
        <w:rPr>
          <w:rFonts w:hint="eastAsia" w:ascii="仿宋_GB2312" w:eastAsia="仿宋_GB2312"/>
          <w:color w:val="auto"/>
          <w:szCs w:val="32"/>
        </w:rPr>
      </w:pPr>
      <w:r>
        <w:rPr>
          <w:rFonts w:hint="eastAsia" w:ascii="仿宋_GB2312" w:hAnsi="仿宋" w:eastAsia="仿宋_GB2312"/>
          <w:color w:val="auto"/>
          <w:kern w:val="0"/>
          <w:szCs w:val="32"/>
        </w:rPr>
        <w:t>立足</w:t>
      </w:r>
      <w:r>
        <w:rPr>
          <w:rFonts w:hint="eastAsia" w:ascii="仿宋_GB2312" w:eastAsia="仿宋_GB2312"/>
          <w:color w:val="auto"/>
          <w:szCs w:val="32"/>
        </w:rPr>
        <w:t>陕南绿色循环发展战略定位，实现交通瓶颈制约、产业优化升级</w:t>
      </w:r>
      <w:r>
        <w:rPr>
          <w:rFonts w:hint="eastAsia" w:ascii="仿宋_GB2312" w:eastAsia="仿宋_GB2312"/>
          <w:b/>
          <w:color w:val="auto"/>
          <w:szCs w:val="32"/>
        </w:rPr>
        <w:t>“两个突破”</w:t>
      </w:r>
      <w:r>
        <w:rPr>
          <w:rFonts w:hint="eastAsia" w:ascii="仿宋_GB2312" w:eastAsia="仿宋_GB2312"/>
          <w:color w:val="auto"/>
          <w:szCs w:val="32"/>
        </w:rPr>
        <w:t>；循环经济、老区振兴、脱贫攻坚</w:t>
      </w:r>
      <w:r>
        <w:rPr>
          <w:rFonts w:hint="eastAsia" w:ascii="仿宋_GB2312" w:eastAsia="仿宋_GB2312"/>
          <w:b/>
          <w:color w:val="auto"/>
          <w:szCs w:val="32"/>
        </w:rPr>
        <w:t>“三个领先”</w:t>
      </w:r>
      <w:r>
        <w:rPr>
          <w:rFonts w:hint="eastAsia" w:ascii="仿宋_GB2312" w:eastAsia="仿宋_GB2312"/>
          <w:color w:val="auto"/>
          <w:szCs w:val="32"/>
        </w:rPr>
        <w:t>；生态建设、宜居城乡、民生福祉、社会治理</w:t>
      </w:r>
      <w:r>
        <w:rPr>
          <w:rFonts w:hint="eastAsia" w:ascii="仿宋_GB2312" w:eastAsia="仿宋_GB2312"/>
          <w:b/>
          <w:color w:val="auto"/>
          <w:szCs w:val="32"/>
        </w:rPr>
        <w:t>“四个提升”</w:t>
      </w:r>
      <w:r>
        <w:rPr>
          <w:rFonts w:hint="eastAsia" w:ascii="仿宋_GB2312" w:eastAsia="仿宋_GB2312"/>
          <w:color w:val="auto"/>
          <w:szCs w:val="32"/>
        </w:rPr>
        <w:t>；生产总值、固定资产投资、地方财政收入、城乡居民可支配收入、服务业增加值</w:t>
      </w:r>
      <w:r>
        <w:rPr>
          <w:rFonts w:hint="eastAsia" w:ascii="仿宋_GB2312" w:eastAsia="仿宋_GB2312"/>
          <w:b/>
          <w:color w:val="auto"/>
          <w:szCs w:val="32"/>
        </w:rPr>
        <w:t>“五个超越”</w:t>
      </w:r>
      <w:r>
        <w:rPr>
          <w:rFonts w:hint="eastAsia" w:ascii="仿宋_GB2312" w:eastAsia="仿宋_GB2312"/>
          <w:color w:val="auto"/>
          <w:szCs w:val="32"/>
        </w:rPr>
        <w:t>。到2020年，经济社会主要指标达到或接近全省平均水平，与全省同步够格全面建成小康社会。</w:t>
      </w:r>
    </w:p>
    <w:p>
      <w:pPr>
        <w:spacing w:line="620" w:lineRule="exact"/>
        <w:ind w:firstLine="643"/>
        <w:jc w:val="left"/>
        <w:rPr>
          <w:rFonts w:hint="eastAsia" w:ascii="仿宋_GB2312" w:hAnsi="仿宋" w:eastAsia="仿宋_GB2312"/>
          <w:color w:val="auto"/>
          <w:kern w:val="0"/>
          <w:szCs w:val="32"/>
        </w:rPr>
      </w:pPr>
      <w:r>
        <w:rPr>
          <w:rFonts w:hint="eastAsia" w:ascii="仿宋_GB2312" w:hAnsi="仿宋" w:eastAsia="仿宋_GB2312"/>
          <w:b/>
          <w:color w:val="auto"/>
          <w:kern w:val="0"/>
          <w:szCs w:val="32"/>
        </w:rPr>
        <w:t>经济实力明显增强。</w:t>
      </w:r>
      <w:r>
        <w:rPr>
          <w:rFonts w:hint="eastAsia" w:ascii="仿宋_GB2312" w:hAnsi="仿宋" w:eastAsia="仿宋_GB2312"/>
          <w:color w:val="auto"/>
          <w:kern w:val="0"/>
          <w:szCs w:val="32"/>
        </w:rPr>
        <w:t>充分发挥水、林、生物、矿产资源优势，牢牢把握发展第一要务，继续以高于全省平均2个百分点左右的增速加快发展，</w:t>
      </w:r>
      <w:r>
        <w:rPr>
          <w:rFonts w:hint="eastAsia" w:ascii="仿宋_GB2312" w:eastAsia="仿宋_GB2312"/>
          <w:color w:val="auto"/>
          <w:szCs w:val="32"/>
        </w:rPr>
        <w:t>为全省的经济发展做贡献，</w:t>
      </w:r>
      <w:r>
        <w:rPr>
          <w:rFonts w:hint="eastAsia" w:ascii="仿宋_GB2312" w:hAnsi="仿宋" w:eastAsia="仿宋_GB2312"/>
          <w:color w:val="auto"/>
          <w:kern w:val="0"/>
          <w:szCs w:val="32"/>
        </w:rPr>
        <w:t>力争到“十三五”末，实现生产总值占到全省14.5%。</w:t>
      </w:r>
    </w:p>
    <w:p>
      <w:pPr>
        <w:spacing w:line="620" w:lineRule="exact"/>
        <w:ind w:firstLine="643"/>
        <w:jc w:val="left"/>
        <w:rPr>
          <w:rFonts w:hint="eastAsia" w:ascii="仿宋_GB2312" w:hAnsi="仿宋" w:eastAsia="仿宋_GB2312"/>
          <w:b/>
          <w:color w:val="auto"/>
          <w:kern w:val="0"/>
          <w:szCs w:val="32"/>
        </w:rPr>
      </w:pPr>
      <w:r>
        <w:rPr>
          <w:rFonts w:hint="eastAsia" w:ascii="仿宋_GB2312" w:hAnsi="仿宋" w:eastAsia="仿宋_GB2312"/>
          <w:b/>
          <w:color w:val="auto"/>
          <w:kern w:val="0"/>
          <w:szCs w:val="32"/>
        </w:rPr>
        <w:t>贫困人口全面脱贫。</w:t>
      </w:r>
      <w:r>
        <w:rPr>
          <w:rFonts w:hint="eastAsia" w:ascii="仿宋_GB2312" w:hAnsi="仿宋" w:eastAsia="仿宋_GB2312"/>
          <w:color w:val="auto"/>
          <w:kern w:val="0"/>
          <w:szCs w:val="32"/>
        </w:rPr>
        <w:t>按照</w:t>
      </w:r>
      <w:r>
        <w:rPr>
          <w:rFonts w:hint="eastAsia" w:ascii="仿宋_GB2312" w:eastAsia="仿宋_GB2312"/>
          <w:color w:val="auto"/>
          <w:szCs w:val="32"/>
        </w:rPr>
        <w:t>“五个一批”、“六个精准”脱贫攻坚要求，采取超常规举措，确保2020年前陕南现行标准下160.87万贫困人口全部脱贫，贫困县全部摘帽，</w:t>
      </w:r>
      <w:r>
        <w:rPr>
          <w:rFonts w:eastAsia="仿宋_GB2312"/>
          <w:color w:val="auto"/>
          <w:spacing w:val="-4"/>
          <w:szCs w:val="32"/>
        </w:rPr>
        <w:t>区域性整体贫困</w:t>
      </w:r>
      <w:r>
        <w:rPr>
          <w:rFonts w:hint="eastAsia" w:eastAsia="仿宋_GB2312"/>
          <w:color w:val="auto"/>
          <w:spacing w:val="-4"/>
          <w:szCs w:val="32"/>
        </w:rPr>
        <w:t>现象</w:t>
      </w:r>
      <w:r>
        <w:rPr>
          <w:rFonts w:eastAsia="仿宋_GB2312"/>
          <w:color w:val="auto"/>
          <w:spacing w:val="-4"/>
          <w:szCs w:val="32"/>
        </w:rPr>
        <w:t>得以</w:t>
      </w:r>
      <w:r>
        <w:rPr>
          <w:rFonts w:hint="eastAsia" w:eastAsia="仿宋_GB2312"/>
          <w:color w:val="auto"/>
          <w:spacing w:val="-4"/>
          <w:szCs w:val="32"/>
        </w:rPr>
        <w:t>全面</w:t>
      </w:r>
      <w:r>
        <w:rPr>
          <w:rFonts w:eastAsia="仿宋_GB2312"/>
          <w:color w:val="auto"/>
          <w:spacing w:val="-4"/>
          <w:szCs w:val="32"/>
        </w:rPr>
        <w:t>消除</w:t>
      </w:r>
      <w:r>
        <w:rPr>
          <w:rFonts w:hint="eastAsia" w:ascii="仿宋_GB2312" w:eastAsia="仿宋_GB2312"/>
          <w:color w:val="auto"/>
          <w:szCs w:val="32"/>
        </w:rPr>
        <w:t>。</w:t>
      </w:r>
    </w:p>
    <w:p>
      <w:pPr>
        <w:spacing w:line="620" w:lineRule="exact"/>
        <w:ind w:firstLine="643"/>
        <w:jc w:val="left"/>
        <w:rPr>
          <w:rFonts w:hint="eastAsia" w:ascii="仿宋_GB2312" w:hAnsi="仿宋" w:eastAsia="仿宋_GB2312"/>
          <w:b/>
          <w:color w:val="auto"/>
          <w:kern w:val="0"/>
          <w:szCs w:val="32"/>
        </w:rPr>
      </w:pPr>
      <w:r>
        <w:rPr>
          <w:rFonts w:hint="eastAsia" w:ascii="仿宋_GB2312" w:hAnsi="仿宋" w:eastAsia="仿宋_GB2312"/>
          <w:b/>
          <w:color w:val="auto"/>
          <w:kern w:val="0"/>
          <w:szCs w:val="32"/>
        </w:rPr>
        <w:t>绿色产业迅速壮大。</w:t>
      </w:r>
      <w:r>
        <w:rPr>
          <w:rFonts w:hint="eastAsia" w:ascii="仿宋_GB2312" w:hAnsi="仿宋" w:eastAsia="仿宋_GB2312"/>
          <w:color w:val="auto"/>
          <w:kern w:val="0"/>
          <w:szCs w:val="32"/>
        </w:rPr>
        <w:t>按照“绿色化”的要求深入推进循环发展，</w:t>
      </w:r>
      <w:r>
        <w:rPr>
          <w:rFonts w:ascii="仿宋_GB2312" w:hAnsi="仿宋" w:eastAsia="仿宋_GB2312"/>
          <w:color w:val="auto"/>
          <w:kern w:val="0"/>
          <w:szCs w:val="32"/>
        </w:rPr>
        <w:t>抓好特色现代农业建设，促进一、二、三产业融合发展</w:t>
      </w:r>
      <w:r>
        <w:rPr>
          <w:rFonts w:hint="eastAsia" w:ascii="仿宋_GB2312" w:hAnsi="仿宋" w:eastAsia="仿宋_GB2312"/>
          <w:color w:val="auto"/>
          <w:kern w:val="0"/>
          <w:szCs w:val="32"/>
        </w:rPr>
        <w:t>，培育壮大</w:t>
      </w:r>
      <w:r>
        <w:rPr>
          <w:rFonts w:ascii="仿宋_GB2312" w:hAnsi="仿宋" w:eastAsia="仿宋_GB2312"/>
          <w:color w:val="auto"/>
          <w:kern w:val="0"/>
          <w:szCs w:val="32"/>
        </w:rPr>
        <w:t>生态农业、</w:t>
      </w:r>
      <w:r>
        <w:rPr>
          <w:rFonts w:ascii="仿宋_GB2312" w:hAnsi="仿宋" w:eastAsia="仿宋_GB2312"/>
          <w:color w:val="auto"/>
          <w:kern w:val="0"/>
          <w:szCs w:val="32"/>
        </w:rPr>
        <w:fldChar w:fldCharType="begin"/>
      </w:r>
      <w:r>
        <w:rPr>
          <w:rFonts w:ascii="仿宋_GB2312" w:hAnsi="仿宋" w:eastAsia="仿宋_GB2312"/>
          <w:color w:val="auto"/>
          <w:kern w:val="0"/>
          <w:szCs w:val="32"/>
        </w:rPr>
        <w:instrText xml:space="preserve"> HYPERLINK "http://baike.baidu.com/view/274437.htm" \t "_blank" </w:instrText>
      </w:r>
      <w:r>
        <w:rPr>
          <w:rFonts w:ascii="仿宋_GB2312" w:hAnsi="仿宋" w:eastAsia="仿宋_GB2312"/>
          <w:color w:val="auto"/>
          <w:kern w:val="0"/>
          <w:szCs w:val="32"/>
        </w:rPr>
        <w:fldChar w:fldCharType="separate"/>
      </w:r>
      <w:r>
        <w:rPr>
          <w:rFonts w:ascii="仿宋_GB2312" w:hAnsi="仿宋" w:eastAsia="仿宋_GB2312"/>
          <w:color w:val="auto"/>
          <w:kern w:val="0"/>
          <w:szCs w:val="32"/>
        </w:rPr>
        <w:t>生态工业</w:t>
      </w:r>
      <w:r>
        <w:rPr>
          <w:rFonts w:ascii="仿宋_GB2312" w:hAnsi="仿宋" w:eastAsia="仿宋_GB2312"/>
          <w:color w:val="auto"/>
          <w:kern w:val="0"/>
          <w:szCs w:val="32"/>
        </w:rPr>
        <w:fldChar w:fldCharType="end"/>
      </w:r>
      <w:r>
        <w:rPr>
          <w:rFonts w:ascii="仿宋_GB2312" w:hAnsi="仿宋" w:eastAsia="仿宋_GB2312"/>
          <w:color w:val="auto"/>
          <w:kern w:val="0"/>
          <w:szCs w:val="32"/>
        </w:rPr>
        <w:t>、生态</w:t>
      </w:r>
      <w:r>
        <w:rPr>
          <w:rFonts w:hint="eastAsia" w:ascii="仿宋_GB2312" w:hAnsi="仿宋" w:eastAsia="仿宋_GB2312"/>
          <w:color w:val="auto"/>
          <w:kern w:val="0"/>
          <w:szCs w:val="32"/>
          <w:lang w:eastAsia="zh-CN"/>
        </w:rPr>
        <w:t>服务业</w:t>
      </w:r>
      <w:r>
        <w:rPr>
          <w:rFonts w:hint="eastAsia" w:ascii="仿宋_GB2312" w:hAnsi="仿宋" w:eastAsia="仿宋_GB2312"/>
          <w:color w:val="auto"/>
          <w:kern w:val="0"/>
          <w:szCs w:val="32"/>
        </w:rPr>
        <w:t>等绿色经济体，到2020年，实现县域经济占GDP总量比例超过80%。</w:t>
      </w:r>
    </w:p>
    <w:p>
      <w:pPr>
        <w:spacing w:line="620" w:lineRule="exact"/>
        <w:ind w:firstLine="643"/>
        <w:jc w:val="left"/>
        <w:rPr>
          <w:rFonts w:hint="eastAsia" w:ascii="仿宋_GB2312" w:hAnsi="仿宋" w:eastAsia="仿宋_GB2312"/>
          <w:color w:val="auto"/>
          <w:kern w:val="0"/>
          <w:szCs w:val="32"/>
        </w:rPr>
      </w:pPr>
      <w:r>
        <w:rPr>
          <w:rFonts w:hint="eastAsia" w:ascii="仿宋_GB2312" w:hAnsi="仿宋" w:eastAsia="仿宋_GB2312"/>
          <w:b/>
          <w:color w:val="auto"/>
          <w:kern w:val="0"/>
          <w:szCs w:val="32"/>
        </w:rPr>
        <w:t>生态环境不断改善。</w:t>
      </w:r>
      <w:r>
        <w:rPr>
          <w:rFonts w:hint="eastAsia" w:ascii="仿宋_GB2312" w:hAnsi="仿宋" w:eastAsia="仿宋_GB2312"/>
          <w:color w:val="auto"/>
          <w:kern w:val="0"/>
          <w:szCs w:val="32"/>
        </w:rPr>
        <w:t>坚持大绿色、大生态、大循环理念，确保资源开发利用和环境保护良性格局形成，生态优势转变为经济社会发展的优势凸显，汉、丹江出境断面水质全部稳定保持在Ⅱ类以</w:t>
      </w:r>
      <w:r>
        <w:rPr>
          <w:rFonts w:hint="eastAsia" w:ascii="仿宋_GB2312" w:hAnsi="仿宋" w:eastAsia="仿宋_GB2312"/>
          <w:color w:val="auto"/>
          <w:kern w:val="0"/>
          <w:szCs w:val="32"/>
          <w:lang w:eastAsia="zh-CN"/>
        </w:rPr>
        <w:t>内</w:t>
      </w:r>
      <w:r>
        <w:rPr>
          <w:rFonts w:hint="eastAsia" w:ascii="仿宋_GB2312" w:hAnsi="仿宋" w:eastAsia="仿宋_GB2312"/>
          <w:color w:val="auto"/>
          <w:kern w:val="0"/>
          <w:szCs w:val="32"/>
        </w:rPr>
        <w:t>，国家生态文明示范区成功创建。</w:t>
      </w:r>
    </w:p>
    <w:p>
      <w:pPr>
        <w:spacing w:line="620" w:lineRule="exact"/>
        <w:ind w:firstLine="643"/>
        <w:jc w:val="left"/>
        <w:rPr>
          <w:rFonts w:hint="eastAsia" w:ascii="仿宋_GB2312" w:hAnsi="仿宋" w:eastAsia="仿宋_GB2312"/>
          <w:color w:val="auto"/>
          <w:kern w:val="0"/>
          <w:szCs w:val="32"/>
        </w:rPr>
      </w:pPr>
      <w:r>
        <w:rPr>
          <w:rFonts w:hint="eastAsia" w:ascii="仿宋_GB2312" w:hAnsi="仿宋" w:eastAsia="仿宋_GB2312"/>
          <w:b/>
          <w:color w:val="auto"/>
          <w:kern w:val="0"/>
          <w:szCs w:val="32"/>
        </w:rPr>
        <w:t>民生福祉持续增进。</w:t>
      </w:r>
      <w:r>
        <w:rPr>
          <w:rFonts w:hint="eastAsia" w:ascii="仿宋_GB2312" w:hAnsi="仿宋" w:eastAsia="仿宋_GB2312"/>
          <w:color w:val="auto"/>
          <w:kern w:val="0"/>
          <w:szCs w:val="32"/>
        </w:rPr>
        <w:t>实现城乡居民收入和经济发展同步增长，社会就业更加充分，城乡一体化水平大幅提升，</w:t>
      </w:r>
      <w:r>
        <w:rPr>
          <w:rFonts w:hint="eastAsia" w:ascii="仿宋_GB2312" w:hAnsi="仿宋_GB2312" w:eastAsia="仿宋_GB2312" w:cs="仿宋_GB2312"/>
          <w:snapToGrid w:val="0"/>
          <w:color w:val="auto"/>
          <w:kern w:val="0"/>
          <w:szCs w:val="32"/>
        </w:rPr>
        <w:t>13年免费教育全面落实，社会保障体系更加完善。社会治理能力明显提高，民主法</w:t>
      </w:r>
      <w:r>
        <w:rPr>
          <w:rFonts w:hint="eastAsia" w:eastAsia="仿宋_GB2312"/>
          <w:snapToGrid w:val="0"/>
          <w:color w:val="auto"/>
          <w:kern w:val="0"/>
          <w:szCs w:val="32"/>
        </w:rPr>
        <w:t>制更加健全，社会更加公平正义。</w:t>
      </w:r>
    </w:p>
    <w:p>
      <w:pPr>
        <w:spacing w:before="312" w:beforeLines="100" w:after="312" w:afterLines="100" w:line="600" w:lineRule="exact"/>
        <w:ind w:firstLine="643"/>
        <w:jc w:val="center"/>
        <w:rPr>
          <w:rFonts w:hint="eastAsia" w:ascii="仿宋_GB2312" w:hAnsi="仿宋" w:eastAsia="仿宋_GB2312"/>
          <w:b/>
          <w:bCs/>
          <w:color w:val="auto"/>
          <w:kern w:val="0"/>
          <w:szCs w:val="32"/>
        </w:rPr>
      </w:pPr>
      <w:r>
        <w:rPr>
          <w:rFonts w:hint="eastAsia" w:ascii="仿宋_GB2312" w:hAnsi="仿宋" w:eastAsia="仿宋_GB2312"/>
          <w:b/>
          <w:bCs/>
          <w:color w:val="auto"/>
          <w:kern w:val="0"/>
          <w:szCs w:val="32"/>
        </w:rPr>
        <w:t>表1  “十三五”规划主要指标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956"/>
        <w:gridCol w:w="669"/>
        <w:gridCol w:w="1477"/>
        <w:gridCol w:w="1143"/>
        <w:gridCol w:w="1200"/>
        <w:gridCol w:w="131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97" w:type="dxa"/>
            <w:noWrap w:val="0"/>
            <w:vAlign w:val="center"/>
          </w:tcPr>
          <w:p>
            <w:pPr>
              <w:spacing w:line="240" w:lineRule="auto"/>
              <w:ind w:firstLine="0" w:firstLineChars="0"/>
              <w:jc w:val="center"/>
              <w:rPr>
                <w:rFonts w:eastAsia="黑体"/>
                <w:b/>
                <w:bCs/>
                <w:color w:val="auto"/>
                <w:sz w:val="24"/>
              </w:rPr>
            </w:pPr>
            <w:r>
              <w:rPr>
                <w:rFonts w:eastAsia="黑体"/>
                <w:b/>
                <w:bCs/>
                <w:color w:val="auto"/>
                <w:sz w:val="24"/>
              </w:rPr>
              <w:t>类别</w:t>
            </w:r>
          </w:p>
        </w:tc>
        <w:tc>
          <w:tcPr>
            <w:tcW w:w="3102" w:type="dxa"/>
            <w:gridSpan w:val="3"/>
            <w:noWrap w:val="0"/>
            <w:vAlign w:val="center"/>
          </w:tcPr>
          <w:p>
            <w:pPr>
              <w:spacing w:line="240" w:lineRule="auto"/>
              <w:ind w:firstLine="0" w:firstLineChars="0"/>
              <w:jc w:val="center"/>
              <w:rPr>
                <w:rFonts w:eastAsia="黑体"/>
                <w:b/>
                <w:bCs/>
                <w:color w:val="auto"/>
                <w:sz w:val="24"/>
              </w:rPr>
            </w:pPr>
            <w:r>
              <w:rPr>
                <w:rFonts w:eastAsia="黑体"/>
                <w:b/>
                <w:bCs/>
                <w:color w:val="auto"/>
                <w:sz w:val="24"/>
              </w:rPr>
              <w:t>指标名称</w:t>
            </w:r>
          </w:p>
        </w:tc>
        <w:tc>
          <w:tcPr>
            <w:tcW w:w="1143" w:type="dxa"/>
            <w:noWrap w:val="0"/>
            <w:vAlign w:val="center"/>
          </w:tcPr>
          <w:p>
            <w:pPr>
              <w:spacing w:line="240" w:lineRule="auto"/>
              <w:ind w:firstLine="0" w:firstLineChars="0"/>
              <w:jc w:val="center"/>
              <w:rPr>
                <w:rFonts w:eastAsia="黑体"/>
                <w:b/>
                <w:bCs/>
                <w:color w:val="auto"/>
                <w:sz w:val="24"/>
              </w:rPr>
            </w:pPr>
            <w:r>
              <w:rPr>
                <w:rFonts w:eastAsia="黑体"/>
                <w:b/>
                <w:bCs/>
                <w:color w:val="auto"/>
                <w:sz w:val="24"/>
              </w:rPr>
              <w:t>2015年</w:t>
            </w:r>
          </w:p>
          <w:p>
            <w:pPr>
              <w:spacing w:line="240" w:lineRule="auto"/>
              <w:ind w:firstLine="0" w:firstLineChars="0"/>
              <w:jc w:val="center"/>
              <w:rPr>
                <w:rFonts w:hint="eastAsia" w:eastAsia="黑体"/>
                <w:b/>
                <w:bCs/>
                <w:color w:val="auto"/>
                <w:sz w:val="24"/>
              </w:rPr>
            </w:pPr>
            <w:r>
              <w:rPr>
                <w:rFonts w:hint="eastAsia" w:eastAsia="黑体"/>
                <w:b/>
                <w:bCs/>
                <w:color w:val="auto"/>
                <w:sz w:val="24"/>
              </w:rPr>
              <w:t>实  际</w:t>
            </w:r>
          </w:p>
        </w:tc>
        <w:tc>
          <w:tcPr>
            <w:tcW w:w="1200" w:type="dxa"/>
            <w:noWrap w:val="0"/>
            <w:vAlign w:val="center"/>
          </w:tcPr>
          <w:p>
            <w:pPr>
              <w:spacing w:line="240" w:lineRule="auto"/>
              <w:ind w:firstLine="0" w:firstLineChars="0"/>
              <w:jc w:val="center"/>
              <w:rPr>
                <w:rFonts w:eastAsia="黑体"/>
                <w:b/>
                <w:bCs/>
                <w:color w:val="auto"/>
                <w:sz w:val="24"/>
              </w:rPr>
            </w:pPr>
            <w:r>
              <w:rPr>
                <w:rFonts w:eastAsia="黑体"/>
                <w:b/>
                <w:bCs/>
                <w:color w:val="auto"/>
                <w:sz w:val="24"/>
              </w:rPr>
              <w:t>2020年</w:t>
            </w:r>
          </w:p>
          <w:p>
            <w:pPr>
              <w:spacing w:line="240" w:lineRule="auto"/>
              <w:ind w:firstLine="0" w:firstLineChars="0"/>
              <w:jc w:val="center"/>
              <w:rPr>
                <w:rFonts w:eastAsia="黑体"/>
                <w:b/>
                <w:bCs/>
                <w:color w:val="auto"/>
                <w:sz w:val="24"/>
              </w:rPr>
            </w:pPr>
            <w:r>
              <w:rPr>
                <w:rFonts w:eastAsia="黑体"/>
                <w:b/>
                <w:bCs/>
                <w:color w:val="auto"/>
                <w:sz w:val="24"/>
              </w:rPr>
              <w:t>规</w:t>
            </w:r>
            <w:r>
              <w:rPr>
                <w:rFonts w:hint="eastAsia" w:eastAsia="黑体"/>
                <w:b/>
                <w:bCs/>
                <w:color w:val="auto"/>
                <w:sz w:val="24"/>
              </w:rPr>
              <w:t xml:space="preserve">  </w:t>
            </w:r>
            <w:r>
              <w:rPr>
                <w:rFonts w:eastAsia="黑体"/>
                <w:b/>
                <w:bCs/>
                <w:color w:val="auto"/>
                <w:sz w:val="24"/>
              </w:rPr>
              <w:t>划</w:t>
            </w:r>
          </w:p>
        </w:tc>
        <w:tc>
          <w:tcPr>
            <w:tcW w:w="1313" w:type="dxa"/>
            <w:noWrap w:val="0"/>
            <w:vAlign w:val="center"/>
          </w:tcPr>
          <w:p>
            <w:pPr>
              <w:spacing w:line="240" w:lineRule="auto"/>
              <w:ind w:firstLine="0" w:firstLineChars="0"/>
              <w:jc w:val="center"/>
              <w:rPr>
                <w:rFonts w:eastAsia="黑体"/>
                <w:b/>
                <w:bCs/>
                <w:color w:val="auto"/>
                <w:sz w:val="24"/>
              </w:rPr>
            </w:pPr>
            <w:r>
              <w:rPr>
                <w:rFonts w:eastAsia="黑体"/>
                <w:b/>
                <w:bCs/>
                <w:color w:val="auto"/>
                <w:sz w:val="24"/>
              </w:rPr>
              <w:t>年均增长</w:t>
            </w:r>
          </w:p>
          <w:p>
            <w:pPr>
              <w:spacing w:line="240" w:lineRule="auto"/>
              <w:ind w:firstLine="0" w:firstLineChars="0"/>
              <w:jc w:val="center"/>
              <w:rPr>
                <w:rFonts w:eastAsia="黑体"/>
                <w:b/>
                <w:bCs/>
                <w:color w:val="auto"/>
                <w:sz w:val="24"/>
              </w:rPr>
            </w:pPr>
            <w:r>
              <w:rPr>
                <w:rFonts w:hint="eastAsia" w:eastAsia="黑体"/>
                <w:b/>
                <w:bCs/>
                <w:color w:val="auto"/>
                <w:sz w:val="24"/>
              </w:rPr>
              <w:t>[累计]</w:t>
            </w:r>
          </w:p>
        </w:tc>
        <w:tc>
          <w:tcPr>
            <w:tcW w:w="1231" w:type="dxa"/>
            <w:noWrap w:val="0"/>
            <w:vAlign w:val="center"/>
          </w:tcPr>
          <w:p>
            <w:pPr>
              <w:spacing w:line="240" w:lineRule="auto"/>
              <w:ind w:firstLine="0" w:firstLineChars="0"/>
              <w:jc w:val="center"/>
              <w:rPr>
                <w:rFonts w:eastAsia="黑体"/>
                <w:b/>
                <w:bCs/>
                <w:color w:val="auto"/>
                <w:sz w:val="24"/>
              </w:rPr>
            </w:pPr>
            <w:r>
              <w:rPr>
                <w:rFonts w:eastAsia="黑体"/>
                <w:b/>
                <w:bCs/>
                <w:color w:val="auto"/>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97" w:type="dxa"/>
            <w:vMerge w:val="restart"/>
            <w:noWrap w:val="0"/>
            <w:vAlign w:val="center"/>
          </w:tcPr>
          <w:p>
            <w:pPr>
              <w:spacing w:line="240" w:lineRule="auto"/>
              <w:ind w:firstLine="0" w:firstLineChars="0"/>
              <w:jc w:val="center"/>
              <w:rPr>
                <w:color w:val="auto"/>
                <w:sz w:val="24"/>
              </w:rPr>
            </w:pPr>
            <w:r>
              <w:rPr>
                <w:color w:val="auto"/>
                <w:sz w:val="24"/>
              </w:rPr>
              <w:t>经济</w:t>
            </w:r>
          </w:p>
          <w:p>
            <w:pPr>
              <w:spacing w:line="240" w:lineRule="auto"/>
              <w:ind w:firstLine="0" w:firstLineChars="0"/>
              <w:jc w:val="center"/>
              <w:rPr>
                <w:color w:val="auto"/>
                <w:sz w:val="24"/>
              </w:rPr>
            </w:pPr>
            <w:r>
              <w:rPr>
                <w:color w:val="auto"/>
                <w:sz w:val="24"/>
              </w:rPr>
              <w:t>发展</w:t>
            </w:r>
          </w:p>
        </w:tc>
        <w:tc>
          <w:tcPr>
            <w:tcW w:w="3102" w:type="dxa"/>
            <w:gridSpan w:val="3"/>
            <w:noWrap w:val="0"/>
            <w:vAlign w:val="center"/>
          </w:tcPr>
          <w:p>
            <w:pPr>
              <w:ind w:firstLine="0" w:firstLineChars="0"/>
              <w:jc w:val="center"/>
              <w:rPr>
                <w:color w:val="auto"/>
                <w:sz w:val="24"/>
              </w:rPr>
            </w:pPr>
            <w:r>
              <w:rPr>
                <w:color w:val="auto"/>
                <w:sz w:val="24"/>
              </w:rPr>
              <w:t>生产总值（亿元）</w:t>
            </w:r>
          </w:p>
        </w:tc>
        <w:tc>
          <w:tcPr>
            <w:tcW w:w="1143" w:type="dxa"/>
            <w:noWrap w:val="0"/>
            <w:vAlign w:val="center"/>
          </w:tcPr>
          <w:p>
            <w:pPr>
              <w:ind w:firstLine="0" w:firstLineChars="0"/>
              <w:jc w:val="center"/>
              <w:rPr>
                <w:rFonts w:hint="eastAsia"/>
                <w:color w:val="auto"/>
                <w:sz w:val="24"/>
              </w:rPr>
            </w:pPr>
            <w:r>
              <w:rPr>
                <w:rFonts w:hint="eastAsia"/>
                <w:color w:val="auto"/>
                <w:sz w:val="24"/>
              </w:rPr>
              <w:t>2459.12</w:t>
            </w:r>
          </w:p>
        </w:tc>
        <w:tc>
          <w:tcPr>
            <w:tcW w:w="1200" w:type="dxa"/>
            <w:noWrap w:val="0"/>
            <w:vAlign w:val="center"/>
          </w:tcPr>
          <w:p>
            <w:pPr>
              <w:ind w:firstLine="0" w:firstLineChars="0"/>
              <w:jc w:val="center"/>
              <w:rPr>
                <w:rFonts w:hint="eastAsia"/>
                <w:color w:val="auto"/>
                <w:sz w:val="24"/>
              </w:rPr>
            </w:pPr>
            <w:r>
              <w:rPr>
                <w:rFonts w:hint="eastAsia"/>
                <w:color w:val="auto"/>
                <w:sz w:val="24"/>
              </w:rPr>
              <w:t>4350</w:t>
            </w:r>
          </w:p>
        </w:tc>
        <w:tc>
          <w:tcPr>
            <w:tcW w:w="1313" w:type="dxa"/>
            <w:noWrap w:val="0"/>
            <w:vAlign w:val="center"/>
          </w:tcPr>
          <w:p>
            <w:pPr>
              <w:ind w:firstLine="0" w:firstLineChars="0"/>
              <w:jc w:val="center"/>
              <w:rPr>
                <w:rFonts w:hint="eastAsia"/>
                <w:color w:val="auto"/>
                <w:sz w:val="24"/>
              </w:rPr>
            </w:pPr>
            <w:r>
              <w:rPr>
                <w:rFonts w:hint="eastAsia"/>
                <w:color w:val="auto"/>
                <w:sz w:val="24"/>
              </w:rPr>
              <w:t>10%-11%</w:t>
            </w:r>
          </w:p>
        </w:tc>
        <w:tc>
          <w:tcPr>
            <w:tcW w:w="1231" w:type="dxa"/>
            <w:noWrap w:val="0"/>
            <w:vAlign w:val="center"/>
          </w:tcPr>
          <w:p>
            <w:pPr>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color w:val="auto"/>
                <w:sz w:val="24"/>
              </w:rPr>
            </w:pPr>
            <w:r>
              <w:rPr>
                <w:color w:val="auto"/>
                <w:sz w:val="24"/>
              </w:rPr>
              <w:t>全社会固定资产投资（亿元）</w:t>
            </w:r>
          </w:p>
        </w:tc>
        <w:tc>
          <w:tcPr>
            <w:tcW w:w="1143" w:type="dxa"/>
            <w:noWrap w:val="0"/>
            <w:vAlign w:val="center"/>
          </w:tcPr>
          <w:p>
            <w:pPr>
              <w:ind w:firstLine="0" w:firstLineChars="0"/>
              <w:jc w:val="center"/>
              <w:rPr>
                <w:rFonts w:hint="eastAsia"/>
                <w:color w:val="auto"/>
                <w:sz w:val="24"/>
              </w:rPr>
            </w:pPr>
            <w:r>
              <w:rPr>
                <w:rFonts w:hint="eastAsia"/>
                <w:color w:val="auto"/>
                <w:sz w:val="24"/>
              </w:rPr>
              <w:t>[8629.9]</w:t>
            </w:r>
          </w:p>
        </w:tc>
        <w:tc>
          <w:tcPr>
            <w:tcW w:w="1200" w:type="dxa"/>
            <w:noWrap w:val="0"/>
            <w:vAlign w:val="center"/>
          </w:tcPr>
          <w:p>
            <w:pPr>
              <w:ind w:firstLine="0" w:firstLineChars="0"/>
              <w:jc w:val="center"/>
              <w:rPr>
                <w:rFonts w:hint="eastAsia"/>
                <w:color w:val="auto"/>
                <w:sz w:val="24"/>
              </w:rPr>
            </w:pPr>
            <w:r>
              <w:rPr>
                <w:rFonts w:hint="eastAsia"/>
                <w:color w:val="auto"/>
                <w:sz w:val="24"/>
              </w:rPr>
              <w:t>[17700]</w:t>
            </w:r>
          </w:p>
        </w:tc>
        <w:tc>
          <w:tcPr>
            <w:tcW w:w="1313" w:type="dxa"/>
            <w:noWrap w:val="0"/>
            <w:vAlign w:val="center"/>
          </w:tcPr>
          <w:p>
            <w:pPr>
              <w:ind w:firstLine="0" w:firstLineChars="0"/>
              <w:jc w:val="center"/>
              <w:rPr>
                <w:rFonts w:hint="eastAsia"/>
                <w:color w:val="auto"/>
                <w:sz w:val="24"/>
              </w:rPr>
            </w:pPr>
            <w:r>
              <w:rPr>
                <w:rFonts w:hint="eastAsia"/>
                <w:color w:val="auto"/>
                <w:sz w:val="24"/>
              </w:rPr>
              <w:t>15.5%</w:t>
            </w:r>
          </w:p>
        </w:tc>
        <w:tc>
          <w:tcPr>
            <w:tcW w:w="1231" w:type="dxa"/>
            <w:noWrap w:val="0"/>
            <w:vAlign w:val="center"/>
          </w:tcPr>
          <w:p>
            <w:pPr>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color w:val="auto"/>
                <w:sz w:val="24"/>
              </w:rPr>
            </w:pPr>
            <w:r>
              <w:rPr>
                <w:color w:val="auto"/>
                <w:sz w:val="24"/>
              </w:rPr>
              <w:t>社会消费品零售总额（亿元）</w:t>
            </w:r>
          </w:p>
        </w:tc>
        <w:tc>
          <w:tcPr>
            <w:tcW w:w="1143" w:type="dxa"/>
            <w:noWrap w:val="0"/>
            <w:vAlign w:val="center"/>
          </w:tcPr>
          <w:p>
            <w:pPr>
              <w:ind w:firstLine="0" w:firstLineChars="0"/>
              <w:jc w:val="center"/>
              <w:rPr>
                <w:rFonts w:hint="eastAsia"/>
                <w:color w:val="auto"/>
                <w:sz w:val="24"/>
              </w:rPr>
            </w:pPr>
            <w:r>
              <w:rPr>
                <w:rFonts w:hint="eastAsia"/>
                <w:color w:val="auto"/>
                <w:sz w:val="24"/>
              </w:rPr>
              <w:t>692.86</w:t>
            </w:r>
          </w:p>
        </w:tc>
        <w:tc>
          <w:tcPr>
            <w:tcW w:w="1200" w:type="dxa"/>
            <w:noWrap w:val="0"/>
            <w:vAlign w:val="center"/>
          </w:tcPr>
          <w:p>
            <w:pPr>
              <w:ind w:firstLine="0" w:firstLineChars="0"/>
              <w:jc w:val="center"/>
              <w:rPr>
                <w:rFonts w:hint="eastAsia"/>
                <w:color w:val="auto"/>
                <w:sz w:val="24"/>
              </w:rPr>
            </w:pPr>
            <w:r>
              <w:rPr>
                <w:rFonts w:hint="eastAsia"/>
                <w:color w:val="auto"/>
                <w:sz w:val="24"/>
              </w:rPr>
              <w:t>1190</w:t>
            </w:r>
          </w:p>
        </w:tc>
        <w:tc>
          <w:tcPr>
            <w:tcW w:w="1313" w:type="dxa"/>
            <w:noWrap w:val="0"/>
            <w:vAlign w:val="center"/>
          </w:tcPr>
          <w:p>
            <w:pPr>
              <w:ind w:firstLine="0" w:firstLineChars="0"/>
              <w:jc w:val="center"/>
              <w:rPr>
                <w:rFonts w:hint="eastAsia"/>
                <w:color w:val="auto"/>
                <w:sz w:val="24"/>
              </w:rPr>
            </w:pPr>
            <w:r>
              <w:rPr>
                <w:rFonts w:hint="eastAsia"/>
                <w:color w:val="auto"/>
                <w:sz w:val="24"/>
              </w:rPr>
              <w:t>11.5%</w:t>
            </w:r>
          </w:p>
        </w:tc>
        <w:tc>
          <w:tcPr>
            <w:tcW w:w="1231" w:type="dxa"/>
            <w:noWrap w:val="0"/>
            <w:vAlign w:val="center"/>
          </w:tcPr>
          <w:p>
            <w:pPr>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color w:val="auto"/>
                <w:sz w:val="24"/>
              </w:rPr>
            </w:pPr>
            <w:r>
              <w:rPr>
                <w:color w:val="auto"/>
                <w:sz w:val="24"/>
              </w:rPr>
              <w:t>进出口贸易总额（万美元）</w:t>
            </w:r>
          </w:p>
        </w:tc>
        <w:tc>
          <w:tcPr>
            <w:tcW w:w="1143" w:type="dxa"/>
            <w:noWrap w:val="0"/>
            <w:vAlign w:val="center"/>
          </w:tcPr>
          <w:p>
            <w:pPr>
              <w:ind w:firstLine="0" w:firstLineChars="0"/>
              <w:jc w:val="center"/>
              <w:rPr>
                <w:rFonts w:hint="eastAsia"/>
                <w:color w:val="auto"/>
                <w:sz w:val="24"/>
              </w:rPr>
            </w:pPr>
            <w:r>
              <w:rPr>
                <w:rFonts w:hint="eastAsia"/>
                <w:color w:val="auto"/>
                <w:sz w:val="24"/>
              </w:rPr>
              <w:t>42863</w:t>
            </w:r>
          </w:p>
        </w:tc>
        <w:tc>
          <w:tcPr>
            <w:tcW w:w="1200" w:type="dxa"/>
            <w:noWrap w:val="0"/>
            <w:vAlign w:val="center"/>
          </w:tcPr>
          <w:p>
            <w:pPr>
              <w:ind w:firstLine="0" w:firstLineChars="0"/>
              <w:jc w:val="center"/>
              <w:rPr>
                <w:rFonts w:hint="eastAsia"/>
                <w:color w:val="auto"/>
                <w:sz w:val="24"/>
              </w:rPr>
            </w:pPr>
            <w:r>
              <w:rPr>
                <w:rFonts w:hint="eastAsia"/>
                <w:color w:val="auto"/>
                <w:sz w:val="24"/>
              </w:rPr>
              <w:t>57000</w:t>
            </w:r>
          </w:p>
        </w:tc>
        <w:tc>
          <w:tcPr>
            <w:tcW w:w="1313" w:type="dxa"/>
            <w:noWrap w:val="0"/>
            <w:vAlign w:val="center"/>
          </w:tcPr>
          <w:p>
            <w:pPr>
              <w:ind w:firstLine="0" w:firstLineChars="0"/>
              <w:jc w:val="center"/>
              <w:rPr>
                <w:rFonts w:hint="eastAsia"/>
                <w:color w:val="auto"/>
                <w:sz w:val="24"/>
              </w:rPr>
            </w:pPr>
            <w:r>
              <w:rPr>
                <w:rFonts w:hint="eastAsia"/>
                <w:color w:val="auto"/>
                <w:sz w:val="24"/>
              </w:rPr>
              <w:t>6%</w:t>
            </w:r>
          </w:p>
        </w:tc>
        <w:tc>
          <w:tcPr>
            <w:tcW w:w="1231" w:type="dxa"/>
            <w:noWrap w:val="0"/>
            <w:vAlign w:val="center"/>
          </w:tcPr>
          <w:p>
            <w:pPr>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color w:val="auto"/>
                <w:sz w:val="24"/>
              </w:rPr>
            </w:pPr>
            <w:r>
              <w:rPr>
                <w:color w:val="auto"/>
                <w:sz w:val="24"/>
              </w:rPr>
              <w:t>规模以上工业增加值（亿元）</w:t>
            </w:r>
          </w:p>
        </w:tc>
        <w:tc>
          <w:tcPr>
            <w:tcW w:w="1143" w:type="dxa"/>
            <w:noWrap w:val="0"/>
            <w:vAlign w:val="center"/>
          </w:tcPr>
          <w:p>
            <w:pPr>
              <w:ind w:firstLine="0" w:firstLineChars="0"/>
              <w:jc w:val="center"/>
              <w:rPr>
                <w:rFonts w:hint="eastAsia"/>
                <w:color w:val="auto"/>
                <w:sz w:val="24"/>
              </w:rPr>
            </w:pPr>
            <w:r>
              <w:rPr>
                <w:rFonts w:hint="eastAsia"/>
                <w:color w:val="auto"/>
                <w:sz w:val="24"/>
              </w:rPr>
              <w:t>795.73</w:t>
            </w:r>
          </w:p>
        </w:tc>
        <w:tc>
          <w:tcPr>
            <w:tcW w:w="1200" w:type="dxa"/>
            <w:noWrap w:val="0"/>
            <w:vAlign w:val="center"/>
          </w:tcPr>
          <w:p>
            <w:pPr>
              <w:ind w:firstLine="0" w:firstLineChars="0"/>
              <w:jc w:val="center"/>
              <w:rPr>
                <w:rFonts w:hint="eastAsia"/>
                <w:color w:val="auto"/>
                <w:sz w:val="24"/>
              </w:rPr>
            </w:pPr>
            <w:r>
              <w:rPr>
                <w:rFonts w:hint="eastAsia"/>
                <w:color w:val="auto"/>
                <w:sz w:val="24"/>
              </w:rPr>
              <w:t>1600</w:t>
            </w:r>
          </w:p>
        </w:tc>
        <w:tc>
          <w:tcPr>
            <w:tcW w:w="1313" w:type="dxa"/>
            <w:noWrap w:val="0"/>
            <w:vAlign w:val="center"/>
          </w:tcPr>
          <w:p>
            <w:pPr>
              <w:ind w:firstLine="0" w:firstLineChars="0"/>
              <w:jc w:val="center"/>
              <w:rPr>
                <w:rFonts w:hint="eastAsia"/>
                <w:color w:val="auto"/>
                <w:sz w:val="24"/>
              </w:rPr>
            </w:pPr>
            <w:r>
              <w:rPr>
                <w:rFonts w:hint="eastAsia"/>
                <w:color w:val="auto"/>
                <w:sz w:val="24"/>
              </w:rPr>
              <w:t>15%</w:t>
            </w:r>
          </w:p>
        </w:tc>
        <w:tc>
          <w:tcPr>
            <w:tcW w:w="1231" w:type="dxa"/>
            <w:noWrap w:val="0"/>
            <w:vAlign w:val="center"/>
          </w:tcPr>
          <w:p>
            <w:pPr>
              <w:ind w:firstLine="0" w:firstLineChars="0"/>
              <w:jc w:val="center"/>
              <w:rPr>
                <w:strike/>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color w:val="auto"/>
                <w:sz w:val="24"/>
              </w:rPr>
            </w:pPr>
            <w:r>
              <w:rPr>
                <w:color w:val="auto"/>
                <w:sz w:val="24"/>
              </w:rPr>
              <w:t>地方财政收入（亿元）</w:t>
            </w:r>
          </w:p>
        </w:tc>
        <w:tc>
          <w:tcPr>
            <w:tcW w:w="1143" w:type="dxa"/>
            <w:noWrap w:val="0"/>
            <w:vAlign w:val="center"/>
          </w:tcPr>
          <w:p>
            <w:pPr>
              <w:ind w:firstLine="0" w:firstLineChars="0"/>
              <w:jc w:val="center"/>
              <w:rPr>
                <w:rFonts w:hint="eastAsia"/>
                <w:color w:val="auto"/>
                <w:sz w:val="24"/>
              </w:rPr>
            </w:pPr>
            <w:r>
              <w:rPr>
                <w:rFonts w:hint="eastAsia"/>
                <w:color w:val="auto"/>
                <w:sz w:val="24"/>
              </w:rPr>
              <w:t>107.30</w:t>
            </w:r>
          </w:p>
        </w:tc>
        <w:tc>
          <w:tcPr>
            <w:tcW w:w="1200" w:type="dxa"/>
            <w:noWrap w:val="0"/>
            <w:vAlign w:val="center"/>
          </w:tcPr>
          <w:p>
            <w:pPr>
              <w:ind w:firstLine="0" w:firstLineChars="0"/>
              <w:jc w:val="center"/>
              <w:rPr>
                <w:rFonts w:hint="eastAsia"/>
                <w:color w:val="auto"/>
                <w:sz w:val="24"/>
              </w:rPr>
            </w:pPr>
            <w:r>
              <w:rPr>
                <w:rFonts w:hint="eastAsia"/>
                <w:color w:val="auto"/>
                <w:sz w:val="24"/>
              </w:rPr>
              <w:t>170</w:t>
            </w:r>
          </w:p>
        </w:tc>
        <w:tc>
          <w:tcPr>
            <w:tcW w:w="1313" w:type="dxa"/>
            <w:noWrap w:val="0"/>
            <w:vAlign w:val="center"/>
          </w:tcPr>
          <w:p>
            <w:pPr>
              <w:ind w:firstLine="0" w:firstLineChars="0"/>
              <w:jc w:val="center"/>
              <w:rPr>
                <w:rFonts w:hint="eastAsia"/>
                <w:color w:val="auto"/>
                <w:sz w:val="24"/>
              </w:rPr>
            </w:pPr>
            <w:r>
              <w:rPr>
                <w:rFonts w:hint="eastAsia"/>
                <w:color w:val="auto"/>
                <w:sz w:val="24"/>
              </w:rPr>
              <w:t>10%</w:t>
            </w:r>
          </w:p>
        </w:tc>
        <w:tc>
          <w:tcPr>
            <w:tcW w:w="1231" w:type="dxa"/>
            <w:noWrap w:val="0"/>
            <w:vAlign w:val="center"/>
          </w:tcPr>
          <w:p>
            <w:pPr>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县域经济占GDP比重</w:t>
            </w:r>
          </w:p>
        </w:tc>
        <w:tc>
          <w:tcPr>
            <w:tcW w:w="1143" w:type="dxa"/>
            <w:noWrap w:val="0"/>
            <w:vAlign w:val="center"/>
          </w:tcPr>
          <w:p>
            <w:pPr>
              <w:ind w:firstLine="0" w:firstLineChars="0"/>
              <w:jc w:val="center"/>
              <w:rPr>
                <w:rFonts w:hint="eastAsia"/>
                <w:color w:val="auto"/>
                <w:sz w:val="24"/>
              </w:rPr>
            </w:pPr>
            <w:r>
              <w:rPr>
                <w:rFonts w:hint="eastAsia"/>
                <w:color w:val="auto"/>
                <w:sz w:val="24"/>
              </w:rPr>
              <w:t>76.25%</w:t>
            </w:r>
          </w:p>
        </w:tc>
        <w:tc>
          <w:tcPr>
            <w:tcW w:w="1200" w:type="dxa"/>
            <w:noWrap w:val="0"/>
            <w:vAlign w:val="center"/>
          </w:tcPr>
          <w:p>
            <w:pPr>
              <w:ind w:firstLine="0" w:firstLineChars="0"/>
              <w:jc w:val="center"/>
              <w:rPr>
                <w:rFonts w:hint="eastAsia"/>
                <w:color w:val="auto"/>
                <w:sz w:val="24"/>
              </w:rPr>
            </w:pPr>
            <w:r>
              <w:rPr>
                <w:rFonts w:hint="eastAsia"/>
                <w:color w:val="auto"/>
                <w:sz w:val="24"/>
              </w:rPr>
              <w:t>80%以上</w:t>
            </w:r>
          </w:p>
        </w:tc>
        <w:tc>
          <w:tcPr>
            <w:tcW w:w="1313" w:type="dxa"/>
            <w:noWrap w:val="0"/>
            <w:vAlign w:val="center"/>
          </w:tcPr>
          <w:p>
            <w:pPr>
              <w:ind w:firstLine="0" w:firstLineChars="0"/>
              <w:jc w:val="center"/>
              <w:rPr>
                <w:rFonts w:hint="eastAsia"/>
                <w:color w:val="auto"/>
                <w:sz w:val="24"/>
              </w:rPr>
            </w:pPr>
            <w:r>
              <w:rPr>
                <w:rFonts w:hint="eastAsia"/>
                <w:color w:val="auto"/>
                <w:sz w:val="24"/>
              </w:rPr>
              <w:t>[&gt;3.75]</w:t>
            </w:r>
          </w:p>
        </w:tc>
        <w:tc>
          <w:tcPr>
            <w:tcW w:w="1231" w:type="dxa"/>
            <w:noWrap w:val="0"/>
            <w:vAlign w:val="center"/>
          </w:tcPr>
          <w:p>
            <w:pPr>
              <w:ind w:firstLine="0" w:firstLineChars="0"/>
              <w:jc w:val="center"/>
              <w:rPr>
                <w:rFonts w:hint="eastAsia"/>
                <w:color w:val="auto"/>
                <w:sz w:val="24"/>
              </w:rPr>
            </w:pPr>
            <w:r>
              <w:rPr>
                <w:rFonts w:hint="eastAsia"/>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97" w:type="dxa"/>
            <w:vMerge w:val="restart"/>
            <w:noWrap w:val="0"/>
            <w:vAlign w:val="center"/>
          </w:tcPr>
          <w:p>
            <w:pPr>
              <w:spacing w:line="240" w:lineRule="auto"/>
              <w:ind w:firstLine="0" w:firstLineChars="0"/>
              <w:jc w:val="center"/>
              <w:rPr>
                <w:color w:val="auto"/>
                <w:sz w:val="24"/>
              </w:rPr>
            </w:pPr>
            <w:r>
              <w:rPr>
                <w:color w:val="auto"/>
                <w:sz w:val="24"/>
              </w:rPr>
              <w:t>创新驱动</w:t>
            </w:r>
          </w:p>
        </w:tc>
        <w:tc>
          <w:tcPr>
            <w:tcW w:w="3102" w:type="dxa"/>
            <w:gridSpan w:val="3"/>
            <w:noWrap w:val="0"/>
            <w:vAlign w:val="center"/>
          </w:tcPr>
          <w:p>
            <w:pPr>
              <w:ind w:firstLine="0" w:firstLineChars="0"/>
              <w:jc w:val="center"/>
              <w:rPr>
                <w:color w:val="auto"/>
                <w:sz w:val="24"/>
                <w:highlight w:val="none"/>
              </w:rPr>
            </w:pPr>
            <w:r>
              <w:rPr>
                <w:color w:val="auto"/>
                <w:sz w:val="24"/>
                <w:highlight w:val="none"/>
              </w:rPr>
              <w:t>科技进步贡献率（%）</w:t>
            </w:r>
          </w:p>
        </w:tc>
        <w:tc>
          <w:tcPr>
            <w:tcW w:w="1143" w:type="dxa"/>
            <w:noWrap w:val="0"/>
            <w:vAlign w:val="center"/>
          </w:tcPr>
          <w:p>
            <w:pPr>
              <w:ind w:firstLine="0" w:firstLineChars="0"/>
              <w:jc w:val="center"/>
              <w:rPr>
                <w:rFonts w:hint="eastAsia"/>
                <w:color w:val="auto"/>
                <w:sz w:val="24"/>
                <w:highlight w:val="none"/>
              </w:rPr>
            </w:pPr>
            <w:r>
              <w:rPr>
                <w:rFonts w:hint="eastAsia"/>
                <w:color w:val="auto"/>
                <w:sz w:val="24"/>
                <w:highlight w:val="none"/>
              </w:rPr>
              <w:t>50</w:t>
            </w:r>
          </w:p>
        </w:tc>
        <w:tc>
          <w:tcPr>
            <w:tcW w:w="1200" w:type="dxa"/>
            <w:noWrap w:val="0"/>
            <w:vAlign w:val="center"/>
          </w:tcPr>
          <w:p>
            <w:pPr>
              <w:ind w:firstLine="0" w:firstLineChars="0"/>
              <w:jc w:val="center"/>
              <w:rPr>
                <w:rFonts w:hint="eastAsia"/>
                <w:color w:val="auto"/>
                <w:sz w:val="24"/>
                <w:highlight w:val="none"/>
              </w:rPr>
            </w:pPr>
            <w:r>
              <w:rPr>
                <w:rFonts w:hint="eastAsia"/>
                <w:color w:val="auto"/>
                <w:sz w:val="24"/>
                <w:highlight w:val="none"/>
              </w:rPr>
              <w:t>56</w:t>
            </w:r>
          </w:p>
        </w:tc>
        <w:tc>
          <w:tcPr>
            <w:tcW w:w="1313" w:type="dxa"/>
            <w:noWrap w:val="0"/>
            <w:vAlign w:val="center"/>
          </w:tcPr>
          <w:p>
            <w:pPr>
              <w:ind w:firstLine="0" w:firstLineChars="0"/>
              <w:jc w:val="center"/>
              <w:rPr>
                <w:rFonts w:hint="eastAsia"/>
                <w:color w:val="auto"/>
                <w:sz w:val="24"/>
                <w:highlight w:val="none"/>
              </w:rPr>
            </w:pPr>
            <w:r>
              <w:rPr>
                <w:rFonts w:hint="eastAsia"/>
                <w:color w:val="auto"/>
                <w:sz w:val="24"/>
                <w:highlight w:val="none"/>
              </w:rPr>
              <w:t>[4]</w:t>
            </w:r>
          </w:p>
        </w:tc>
        <w:tc>
          <w:tcPr>
            <w:tcW w:w="1231" w:type="dxa"/>
            <w:noWrap w:val="0"/>
            <w:vAlign w:val="center"/>
          </w:tcPr>
          <w:p>
            <w:pPr>
              <w:ind w:firstLine="0" w:firstLineChars="0"/>
              <w:jc w:val="center"/>
              <w:rPr>
                <w:rFonts w:hint="eastAsia"/>
                <w:color w:val="auto"/>
                <w:sz w:val="24"/>
                <w:highlight w:val="none"/>
              </w:rPr>
            </w:pPr>
            <w:r>
              <w:rPr>
                <w:rFonts w:hint="eastAsia"/>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97" w:type="dxa"/>
            <w:vMerge w:val="continue"/>
            <w:noWrap w:val="0"/>
            <w:vAlign w:val="center"/>
          </w:tcPr>
          <w:p>
            <w:pPr>
              <w:spacing w:line="240" w:lineRule="auto"/>
              <w:ind w:firstLine="0" w:firstLineChars="0"/>
              <w:jc w:val="center"/>
              <w:rPr>
                <w:color w:val="auto"/>
                <w:sz w:val="24"/>
              </w:rPr>
            </w:pPr>
          </w:p>
        </w:tc>
        <w:tc>
          <w:tcPr>
            <w:tcW w:w="3102" w:type="dxa"/>
            <w:gridSpan w:val="3"/>
            <w:noWrap w:val="0"/>
            <w:vAlign w:val="center"/>
          </w:tcPr>
          <w:p>
            <w:pPr>
              <w:spacing w:line="240" w:lineRule="auto"/>
              <w:ind w:firstLine="0" w:firstLineChars="0"/>
              <w:jc w:val="center"/>
              <w:rPr>
                <w:color w:val="auto"/>
                <w:sz w:val="24"/>
              </w:rPr>
            </w:pPr>
            <w:r>
              <w:rPr>
                <w:color w:val="auto"/>
                <w:sz w:val="24"/>
              </w:rPr>
              <w:t>研究与实验发展经费占GDP比重（%）</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0.4</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0.7</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[0.3]</w:t>
            </w:r>
          </w:p>
        </w:tc>
        <w:tc>
          <w:tcPr>
            <w:tcW w:w="1231" w:type="dxa"/>
            <w:noWrap w:val="0"/>
            <w:vAlign w:val="center"/>
          </w:tcPr>
          <w:p>
            <w:pPr>
              <w:spacing w:line="240" w:lineRule="auto"/>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97" w:type="dxa"/>
            <w:vMerge w:val="restart"/>
            <w:noWrap w:val="0"/>
            <w:vAlign w:val="center"/>
          </w:tcPr>
          <w:p>
            <w:pPr>
              <w:spacing w:line="240" w:lineRule="auto"/>
              <w:ind w:right="113" w:firstLine="0" w:firstLineChars="0"/>
              <w:jc w:val="center"/>
              <w:rPr>
                <w:color w:val="auto"/>
                <w:sz w:val="24"/>
              </w:rPr>
            </w:pPr>
            <w:r>
              <w:rPr>
                <w:color w:val="auto"/>
                <w:sz w:val="24"/>
              </w:rPr>
              <w:t>结构升级</w:t>
            </w:r>
          </w:p>
        </w:tc>
        <w:tc>
          <w:tcPr>
            <w:tcW w:w="3102" w:type="dxa"/>
            <w:gridSpan w:val="3"/>
            <w:noWrap w:val="0"/>
            <w:vAlign w:val="center"/>
          </w:tcPr>
          <w:p>
            <w:pPr>
              <w:spacing w:line="240" w:lineRule="auto"/>
              <w:ind w:firstLine="0" w:firstLineChars="0"/>
              <w:jc w:val="center"/>
              <w:rPr>
                <w:color w:val="auto"/>
                <w:sz w:val="24"/>
              </w:rPr>
            </w:pPr>
            <w:r>
              <w:rPr>
                <w:color w:val="auto"/>
                <w:sz w:val="24"/>
              </w:rPr>
              <w:t>服务业增加值占GDP比重（%）</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35</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37.5</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[2.5]</w:t>
            </w:r>
          </w:p>
        </w:tc>
        <w:tc>
          <w:tcPr>
            <w:tcW w:w="1231" w:type="dxa"/>
            <w:noWrap w:val="0"/>
            <w:vAlign w:val="center"/>
          </w:tcPr>
          <w:p>
            <w:pPr>
              <w:spacing w:line="240" w:lineRule="auto"/>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97" w:type="dxa"/>
            <w:vMerge w:val="continue"/>
            <w:noWrap w:val="0"/>
            <w:vAlign w:val="center"/>
          </w:tcPr>
          <w:p>
            <w:pPr>
              <w:spacing w:line="240" w:lineRule="auto"/>
              <w:ind w:firstLine="0" w:firstLineChars="0"/>
              <w:jc w:val="center"/>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城镇化率（%）（常住人口）</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46.71</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57</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[10.29]</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97" w:type="dxa"/>
            <w:vMerge w:val="continue"/>
            <w:noWrap w:val="0"/>
            <w:vAlign w:val="center"/>
          </w:tcPr>
          <w:p>
            <w:pPr>
              <w:spacing w:line="240" w:lineRule="auto"/>
              <w:ind w:firstLine="0" w:firstLineChars="0"/>
              <w:jc w:val="center"/>
              <w:rPr>
                <w:color w:val="auto"/>
                <w:sz w:val="24"/>
              </w:rPr>
            </w:pPr>
          </w:p>
        </w:tc>
        <w:tc>
          <w:tcPr>
            <w:tcW w:w="3102" w:type="dxa"/>
            <w:gridSpan w:val="3"/>
            <w:noWrap w:val="0"/>
            <w:vAlign w:val="center"/>
          </w:tcPr>
          <w:p>
            <w:pPr>
              <w:spacing w:line="240" w:lineRule="auto"/>
              <w:ind w:firstLine="0" w:firstLineChars="0"/>
              <w:jc w:val="center"/>
              <w:rPr>
                <w:rFonts w:hint="eastAsia"/>
                <w:color w:val="auto"/>
                <w:sz w:val="24"/>
              </w:rPr>
            </w:pPr>
            <w:r>
              <w:rPr>
                <w:color w:val="auto"/>
                <w:sz w:val="24"/>
              </w:rPr>
              <w:t>非公经济增加值占GDP</w:t>
            </w:r>
          </w:p>
          <w:p>
            <w:pPr>
              <w:spacing w:line="240" w:lineRule="auto"/>
              <w:ind w:firstLine="0" w:firstLineChars="0"/>
              <w:jc w:val="center"/>
              <w:rPr>
                <w:rFonts w:hint="eastAsia"/>
                <w:color w:val="auto"/>
                <w:sz w:val="24"/>
              </w:rPr>
            </w:pPr>
            <w:r>
              <w:rPr>
                <w:color w:val="auto"/>
                <w:sz w:val="24"/>
              </w:rPr>
              <w:t>比重（%）</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52.8</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56</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[3.2]</w:t>
            </w:r>
          </w:p>
        </w:tc>
        <w:tc>
          <w:tcPr>
            <w:tcW w:w="1231" w:type="dxa"/>
            <w:noWrap w:val="0"/>
            <w:vAlign w:val="center"/>
          </w:tcPr>
          <w:p>
            <w:pPr>
              <w:spacing w:line="240" w:lineRule="auto"/>
              <w:ind w:firstLine="0" w:firstLineChars="0"/>
              <w:jc w:val="center"/>
              <w:rPr>
                <w:rFonts w:hint="eastAsia"/>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spacing w:line="240" w:lineRule="auto"/>
              <w:ind w:firstLine="0" w:firstLineChars="0"/>
              <w:jc w:val="center"/>
              <w:rPr>
                <w:rFonts w:hint="eastAsia"/>
                <w:color w:val="auto"/>
                <w:sz w:val="24"/>
              </w:rPr>
            </w:pPr>
            <w:r>
              <w:rPr>
                <w:color w:val="auto"/>
                <w:sz w:val="24"/>
              </w:rPr>
              <w:t>城镇</w:t>
            </w:r>
            <w:r>
              <w:rPr>
                <w:rFonts w:hint="eastAsia"/>
                <w:color w:val="auto"/>
                <w:sz w:val="24"/>
              </w:rPr>
              <w:t>常住人口</w:t>
            </w:r>
            <w:r>
              <w:rPr>
                <w:color w:val="auto"/>
                <w:sz w:val="24"/>
              </w:rPr>
              <w:t>人均可支配</w:t>
            </w:r>
          </w:p>
          <w:p>
            <w:pPr>
              <w:spacing w:line="240" w:lineRule="auto"/>
              <w:ind w:firstLine="0" w:firstLineChars="0"/>
              <w:jc w:val="center"/>
              <w:rPr>
                <w:color w:val="auto"/>
                <w:sz w:val="24"/>
              </w:rPr>
            </w:pPr>
            <w:r>
              <w:rPr>
                <w:color w:val="auto"/>
                <w:sz w:val="24"/>
              </w:rPr>
              <w:t>收入（元）</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24670</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41570</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11%</w:t>
            </w:r>
          </w:p>
        </w:tc>
        <w:tc>
          <w:tcPr>
            <w:tcW w:w="1231" w:type="dxa"/>
            <w:noWrap w:val="0"/>
            <w:vAlign w:val="center"/>
          </w:tcPr>
          <w:p>
            <w:pPr>
              <w:spacing w:line="240" w:lineRule="auto"/>
              <w:ind w:firstLine="0" w:firstLineChars="0"/>
              <w:jc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spacing w:line="240" w:lineRule="auto"/>
              <w:ind w:firstLine="0" w:firstLineChars="0"/>
              <w:jc w:val="center"/>
              <w:rPr>
                <w:rFonts w:hint="eastAsia"/>
                <w:color w:val="auto"/>
                <w:sz w:val="24"/>
              </w:rPr>
            </w:pPr>
            <w:r>
              <w:rPr>
                <w:color w:val="auto"/>
                <w:sz w:val="24"/>
              </w:rPr>
              <w:t>农村</w:t>
            </w:r>
            <w:r>
              <w:rPr>
                <w:rFonts w:hint="eastAsia"/>
                <w:color w:val="auto"/>
                <w:sz w:val="24"/>
              </w:rPr>
              <w:t>常住人口</w:t>
            </w:r>
            <w:r>
              <w:rPr>
                <w:color w:val="auto"/>
                <w:sz w:val="24"/>
              </w:rPr>
              <w:t>人均</w:t>
            </w:r>
            <w:r>
              <w:rPr>
                <w:rFonts w:hint="eastAsia"/>
                <w:color w:val="auto"/>
                <w:sz w:val="24"/>
              </w:rPr>
              <w:t>可支配</w:t>
            </w:r>
          </w:p>
          <w:p>
            <w:pPr>
              <w:spacing w:line="240" w:lineRule="auto"/>
              <w:ind w:firstLine="0" w:firstLineChars="0"/>
              <w:jc w:val="center"/>
              <w:rPr>
                <w:rFonts w:hint="eastAsia"/>
                <w:color w:val="auto"/>
                <w:sz w:val="24"/>
              </w:rPr>
            </w:pPr>
            <w:r>
              <w:rPr>
                <w:color w:val="auto"/>
                <w:sz w:val="24"/>
              </w:rPr>
              <w:t>收入（元）</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7967</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14040</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12%</w:t>
            </w:r>
          </w:p>
        </w:tc>
        <w:tc>
          <w:tcPr>
            <w:tcW w:w="1231" w:type="dxa"/>
            <w:noWrap w:val="0"/>
            <w:vAlign w:val="center"/>
          </w:tcPr>
          <w:p>
            <w:pPr>
              <w:spacing w:line="240" w:lineRule="auto"/>
              <w:ind w:firstLine="0" w:firstLineChars="0"/>
              <w:jc w:val="center"/>
              <w:rPr>
                <w:rFonts w:hint="eastAsia"/>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城镇新增就业人口数（万人）</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[40.13]</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[34.5]</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spacing w:line="240" w:lineRule="auto"/>
              <w:ind w:firstLine="0" w:firstLineChars="0"/>
              <w:jc w:val="center"/>
              <w:rPr>
                <w:rFonts w:hint="eastAsia"/>
                <w:color w:val="auto"/>
                <w:sz w:val="24"/>
              </w:rPr>
            </w:pPr>
            <w:r>
              <w:rPr>
                <w:rFonts w:hint="eastAsia"/>
                <w:color w:val="auto"/>
                <w:sz w:val="24"/>
              </w:rPr>
              <w:t>城镇棚户区改造住房套数（万套）</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4.89</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[15.01]</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累计贫困人口减少（万人）</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[144.2]</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[160.87]</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spacing w:line="240" w:lineRule="auto"/>
              <w:ind w:firstLine="0" w:firstLineChars="0"/>
              <w:jc w:val="center"/>
              <w:rPr>
                <w:rFonts w:hint="eastAsia"/>
                <w:color w:val="auto"/>
                <w:sz w:val="24"/>
              </w:rPr>
            </w:pPr>
            <w:r>
              <w:rPr>
                <w:rFonts w:hint="eastAsia"/>
                <w:color w:val="auto"/>
                <w:sz w:val="24"/>
              </w:rPr>
              <w:t>劳动年龄人口平均受教育</w:t>
            </w:r>
          </w:p>
          <w:p>
            <w:pPr>
              <w:spacing w:line="240" w:lineRule="auto"/>
              <w:ind w:firstLine="0" w:firstLineChars="0"/>
              <w:jc w:val="center"/>
              <w:rPr>
                <w:rFonts w:hint="eastAsia"/>
                <w:color w:val="auto"/>
                <w:sz w:val="24"/>
              </w:rPr>
            </w:pPr>
            <w:r>
              <w:rPr>
                <w:rFonts w:hint="eastAsia"/>
                <w:color w:val="auto"/>
                <w:sz w:val="24"/>
              </w:rPr>
              <w:t>年限（年）</w:t>
            </w:r>
          </w:p>
        </w:tc>
        <w:tc>
          <w:tcPr>
            <w:tcW w:w="1143" w:type="dxa"/>
            <w:noWrap w:val="0"/>
            <w:vAlign w:val="center"/>
          </w:tcPr>
          <w:p>
            <w:pPr>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13.5</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vMerge w:val="continue"/>
            <w:noWrap w:val="0"/>
            <w:textDirection w:val="tbRlV"/>
            <w:vAlign w:val="center"/>
          </w:tcPr>
          <w:p>
            <w:pPr>
              <w:spacing w:line="240" w:lineRule="auto"/>
              <w:ind w:left="113" w:right="113" w:firstLine="0" w:firstLineChars="0"/>
              <w:jc w:val="center"/>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基本社会保险覆盖率（%）</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96</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97" w:type="dxa"/>
            <w:vMerge w:val="restart"/>
            <w:noWrap w:val="0"/>
            <w:vAlign w:val="center"/>
          </w:tcPr>
          <w:p>
            <w:pPr>
              <w:spacing w:line="240" w:lineRule="auto"/>
              <w:ind w:right="113" w:firstLine="0" w:firstLineChars="0"/>
              <w:jc w:val="center"/>
              <w:rPr>
                <w:rFonts w:hint="eastAsia"/>
                <w:color w:val="auto"/>
                <w:sz w:val="24"/>
              </w:rPr>
            </w:pPr>
            <w:r>
              <w:rPr>
                <w:color w:val="auto"/>
                <w:sz w:val="24"/>
              </w:rPr>
              <w:t>生态文明</w:t>
            </w:r>
          </w:p>
        </w:tc>
        <w:tc>
          <w:tcPr>
            <w:tcW w:w="3102" w:type="dxa"/>
            <w:gridSpan w:val="3"/>
            <w:noWrap w:val="0"/>
            <w:vAlign w:val="center"/>
          </w:tcPr>
          <w:p>
            <w:pPr>
              <w:spacing w:line="240" w:lineRule="auto"/>
              <w:ind w:firstLine="0" w:firstLineChars="0"/>
              <w:jc w:val="center"/>
              <w:rPr>
                <w:rFonts w:hint="eastAsia"/>
                <w:color w:val="auto"/>
                <w:sz w:val="24"/>
              </w:rPr>
            </w:pPr>
            <w:r>
              <w:rPr>
                <w:color w:val="auto"/>
                <w:sz w:val="24"/>
              </w:rPr>
              <w:t>单位GDP能耗</w:t>
            </w:r>
            <w:r>
              <w:rPr>
                <w:rFonts w:hint="eastAsia"/>
                <w:color w:val="auto"/>
                <w:sz w:val="24"/>
              </w:rPr>
              <w:t>累计</w:t>
            </w:r>
          </w:p>
          <w:p>
            <w:pPr>
              <w:spacing w:line="240" w:lineRule="auto"/>
              <w:ind w:firstLine="0" w:firstLineChars="0"/>
              <w:jc w:val="center"/>
              <w:rPr>
                <w:color w:val="auto"/>
                <w:sz w:val="24"/>
              </w:rPr>
            </w:pPr>
            <w:r>
              <w:rPr>
                <w:color w:val="auto"/>
                <w:sz w:val="24"/>
              </w:rPr>
              <w:t>降低（%）</w:t>
            </w:r>
          </w:p>
        </w:tc>
        <w:tc>
          <w:tcPr>
            <w:tcW w:w="1143" w:type="dxa"/>
            <w:noWrap w:val="0"/>
            <w:vAlign w:val="center"/>
          </w:tcPr>
          <w:p>
            <w:pPr>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完成省定目标</w:t>
            </w:r>
          </w:p>
        </w:tc>
        <w:tc>
          <w:tcPr>
            <w:tcW w:w="1313" w:type="dxa"/>
            <w:noWrap w:val="0"/>
            <w:vAlign w:val="center"/>
          </w:tcPr>
          <w:p>
            <w:pPr>
              <w:spacing w:line="240" w:lineRule="auto"/>
              <w:ind w:firstLine="0" w:firstLineChars="0"/>
              <w:jc w:val="center"/>
              <w:rPr>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97" w:type="dxa"/>
            <w:vMerge w:val="continue"/>
            <w:noWrap w:val="0"/>
            <w:vAlign w:val="center"/>
          </w:tcPr>
          <w:p>
            <w:pPr>
              <w:spacing w:line="240" w:lineRule="auto"/>
              <w:ind w:right="113" w:firstLine="0" w:firstLineChars="0"/>
              <w:jc w:val="center"/>
              <w:rPr>
                <w:color w:val="auto"/>
                <w:sz w:val="24"/>
              </w:rPr>
            </w:pPr>
          </w:p>
        </w:tc>
        <w:tc>
          <w:tcPr>
            <w:tcW w:w="3102" w:type="dxa"/>
            <w:gridSpan w:val="3"/>
            <w:noWrap w:val="0"/>
            <w:vAlign w:val="center"/>
          </w:tcPr>
          <w:p>
            <w:pPr>
              <w:spacing w:line="240" w:lineRule="auto"/>
              <w:ind w:firstLine="0" w:firstLineChars="0"/>
              <w:jc w:val="center"/>
              <w:rPr>
                <w:rFonts w:hint="eastAsia"/>
                <w:color w:val="auto"/>
                <w:sz w:val="24"/>
              </w:rPr>
            </w:pPr>
            <w:r>
              <w:rPr>
                <w:rFonts w:hint="eastAsia"/>
                <w:color w:val="auto"/>
                <w:sz w:val="24"/>
              </w:rPr>
              <w:t>单位生产总值CO</w:t>
            </w:r>
            <w:r>
              <w:rPr>
                <w:rFonts w:hint="eastAsia"/>
                <w:color w:val="auto"/>
                <w:sz w:val="24"/>
                <w:vertAlign w:val="subscript"/>
              </w:rPr>
              <w:t>2</w:t>
            </w:r>
            <w:r>
              <w:rPr>
                <w:rFonts w:hint="eastAsia"/>
                <w:color w:val="auto"/>
                <w:sz w:val="24"/>
              </w:rPr>
              <w:t>排放强度累计降低（%）</w:t>
            </w:r>
          </w:p>
        </w:tc>
        <w:tc>
          <w:tcPr>
            <w:tcW w:w="1143" w:type="dxa"/>
            <w:noWrap w:val="0"/>
            <w:vAlign w:val="center"/>
          </w:tcPr>
          <w:p>
            <w:pPr>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完成省定目标</w:t>
            </w:r>
          </w:p>
        </w:tc>
        <w:tc>
          <w:tcPr>
            <w:tcW w:w="1313" w:type="dxa"/>
            <w:noWrap w:val="0"/>
            <w:vAlign w:val="center"/>
          </w:tcPr>
          <w:p>
            <w:pPr>
              <w:spacing w:line="240" w:lineRule="auto"/>
              <w:ind w:firstLine="0" w:firstLineChars="0"/>
              <w:jc w:val="center"/>
              <w:rPr>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97" w:type="dxa"/>
            <w:vMerge w:val="continue"/>
            <w:noWrap w:val="0"/>
            <w:vAlign w:val="center"/>
          </w:tcPr>
          <w:p>
            <w:pPr>
              <w:spacing w:line="240" w:lineRule="auto"/>
              <w:ind w:firstLine="0" w:firstLineChars="0"/>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万元GDP用水量（吨）</w:t>
            </w:r>
          </w:p>
        </w:tc>
        <w:tc>
          <w:tcPr>
            <w:tcW w:w="1143" w:type="dxa"/>
            <w:noWrap w:val="0"/>
            <w:vAlign w:val="center"/>
          </w:tcPr>
          <w:p>
            <w:pPr>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[10]</w:t>
            </w:r>
          </w:p>
        </w:tc>
        <w:tc>
          <w:tcPr>
            <w:tcW w:w="1313" w:type="dxa"/>
            <w:noWrap w:val="0"/>
            <w:vAlign w:val="center"/>
          </w:tcPr>
          <w:p>
            <w:pPr>
              <w:spacing w:line="240" w:lineRule="auto"/>
              <w:ind w:firstLine="0" w:firstLineChars="0"/>
              <w:jc w:val="center"/>
              <w:rPr>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color w:val="auto"/>
                <w:sz w:val="24"/>
              </w:rPr>
            </w:pPr>
            <w:r>
              <w:rPr>
                <w:rFonts w:hint="eastAsia"/>
                <w:color w:val="auto"/>
                <w:sz w:val="24"/>
              </w:rPr>
              <w:t>约束</w:t>
            </w:r>
            <w:r>
              <w:rPr>
                <w:color w:val="auto"/>
                <w:sz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7" w:type="dxa"/>
            <w:vMerge w:val="continue"/>
            <w:noWrap w:val="0"/>
            <w:vAlign w:val="center"/>
          </w:tcPr>
          <w:p>
            <w:pPr>
              <w:spacing w:line="240" w:lineRule="auto"/>
              <w:ind w:firstLine="0" w:firstLineChars="0"/>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新增建设用地规模（万亩）</w:t>
            </w:r>
          </w:p>
        </w:tc>
        <w:tc>
          <w:tcPr>
            <w:tcW w:w="1143" w:type="dxa"/>
            <w:noWrap w:val="0"/>
            <w:vAlign w:val="center"/>
          </w:tcPr>
          <w:p>
            <w:pPr>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color w:val="auto"/>
                <w:sz w:val="24"/>
              </w:rPr>
            </w:pPr>
            <w:r>
              <w:rPr>
                <w:rFonts w:hint="eastAsia"/>
                <w:color w:val="auto"/>
                <w:sz w:val="24"/>
              </w:rPr>
              <w:t>[20.29]</w:t>
            </w:r>
          </w:p>
        </w:tc>
        <w:tc>
          <w:tcPr>
            <w:tcW w:w="1313" w:type="dxa"/>
            <w:noWrap w:val="0"/>
            <w:vAlign w:val="center"/>
          </w:tcPr>
          <w:p>
            <w:pPr>
              <w:spacing w:line="240" w:lineRule="auto"/>
              <w:ind w:firstLine="0" w:firstLineChars="0"/>
              <w:jc w:val="center"/>
              <w:rPr>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97" w:type="dxa"/>
            <w:vMerge w:val="continue"/>
            <w:noWrap w:val="0"/>
            <w:vAlign w:val="center"/>
          </w:tcPr>
          <w:p>
            <w:pPr>
              <w:spacing w:line="240" w:lineRule="auto"/>
              <w:ind w:firstLine="0" w:firstLineChars="0"/>
              <w:rPr>
                <w:color w:val="auto"/>
                <w:sz w:val="24"/>
              </w:rPr>
            </w:pPr>
          </w:p>
        </w:tc>
        <w:tc>
          <w:tcPr>
            <w:tcW w:w="1625" w:type="dxa"/>
            <w:gridSpan w:val="2"/>
            <w:vMerge w:val="restart"/>
            <w:noWrap w:val="0"/>
            <w:vAlign w:val="center"/>
          </w:tcPr>
          <w:p>
            <w:pPr>
              <w:spacing w:line="240" w:lineRule="auto"/>
              <w:ind w:firstLine="0" w:firstLineChars="0"/>
              <w:jc w:val="center"/>
              <w:rPr>
                <w:color w:val="auto"/>
                <w:sz w:val="24"/>
              </w:rPr>
            </w:pPr>
            <w:r>
              <w:rPr>
                <w:color w:val="auto"/>
                <w:sz w:val="24"/>
              </w:rPr>
              <w:t>主要污染物</w:t>
            </w:r>
          </w:p>
          <w:p>
            <w:pPr>
              <w:spacing w:line="240" w:lineRule="auto"/>
              <w:ind w:firstLine="0" w:firstLineChars="0"/>
              <w:jc w:val="center"/>
              <w:rPr>
                <w:color w:val="auto"/>
                <w:sz w:val="24"/>
              </w:rPr>
            </w:pPr>
            <w:r>
              <w:rPr>
                <w:color w:val="auto"/>
                <w:sz w:val="24"/>
              </w:rPr>
              <w:t>排放降低（%）</w:t>
            </w:r>
          </w:p>
        </w:tc>
        <w:tc>
          <w:tcPr>
            <w:tcW w:w="1477" w:type="dxa"/>
            <w:noWrap w:val="0"/>
            <w:vAlign w:val="center"/>
          </w:tcPr>
          <w:p>
            <w:pPr>
              <w:spacing w:line="240" w:lineRule="auto"/>
              <w:ind w:firstLine="0" w:firstLineChars="0"/>
              <w:jc w:val="center"/>
              <w:rPr>
                <w:color w:val="auto"/>
                <w:sz w:val="24"/>
              </w:rPr>
            </w:pPr>
            <w:r>
              <w:rPr>
                <w:color w:val="auto"/>
                <w:sz w:val="24"/>
              </w:rPr>
              <w:t>化学需氧量</w:t>
            </w:r>
          </w:p>
        </w:tc>
        <w:tc>
          <w:tcPr>
            <w:tcW w:w="1143" w:type="dxa"/>
            <w:vMerge w:val="restart"/>
            <w:noWrap w:val="0"/>
            <w:vAlign w:val="center"/>
          </w:tcPr>
          <w:p>
            <w:pPr>
              <w:widowControl/>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widowControl/>
              <w:spacing w:line="260" w:lineRule="exact"/>
              <w:ind w:firstLine="0" w:firstLineChars="0"/>
              <w:jc w:val="center"/>
              <w:rPr>
                <w:color w:val="auto"/>
                <w:sz w:val="24"/>
              </w:rPr>
            </w:pPr>
            <w:r>
              <w:rPr>
                <w:rFonts w:hint="eastAsia"/>
                <w:color w:val="auto"/>
                <w:sz w:val="24"/>
              </w:rPr>
              <w:t>完成省定目标</w:t>
            </w:r>
          </w:p>
        </w:tc>
        <w:tc>
          <w:tcPr>
            <w:tcW w:w="1313" w:type="dxa"/>
            <w:vMerge w:val="restart"/>
            <w:noWrap w:val="0"/>
            <w:vAlign w:val="center"/>
          </w:tcPr>
          <w:p>
            <w:pPr>
              <w:spacing w:line="240" w:lineRule="auto"/>
              <w:ind w:firstLine="0" w:firstLineChars="0"/>
              <w:jc w:val="center"/>
              <w:rPr>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97" w:type="dxa"/>
            <w:vMerge w:val="continue"/>
            <w:noWrap w:val="0"/>
            <w:vAlign w:val="center"/>
          </w:tcPr>
          <w:p>
            <w:pPr>
              <w:spacing w:line="240" w:lineRule="auto"/>
              <w:ind w:firstLine="0" w:firstLineChars="0"/>
              <w:rPr>
                <w:color w:val="auto"/>
                <w:sz w:val="24"/>
              </w:rPr>
            </w:pPr>
          </w:p>
        </w:tc>
        <w:tc>
          <w:tcPr>
            <w:tcW w:w="1625" w:type="dxa"/>
            <w:gridSpan w:val="2"/>
            <w:vMerge w:val="continue"/>
            <w:noWrap w:val="0"/>
            <w:vAlign w:val="center"/>
          </w:tcPr>
          <w:p>
            <w:pPr>
              <w:spacing w:line="240" w:lineRule="auto"/>
              <w:ind w:firstLine="0" w:firstLineChars="0"/>
              <w:jc w:val="center"/>
              <w:rPr>
                <w:color w:val="auto"/>
                <w:sz w:val="24"/>
              </w:rPr>
            </w:pPr>
          </w:p>
        </w:tc>
        <w:tc>
          <w:tcPr>
            <w:tcW w:w="1477" w:type="dxa"/>
            <w:noWrap w:val="0"/>
            <w:vAlign w:val="center"/>
          </w:tcPr>
          <w:p>
            <w:pPr>
              <w:spacing w:line="240" w:lineRule="auto"/>
              <w:ind w:firstLine="0" w:firstLineChars="0"/>
              <w:jc w:val="center"/>
              <w:rPr>
                <w:color w:val="auto"/>
                <w:sz w:val="24"/>
              </w:rPr>
            </w:pPr>
            <w:r>
              <w:rPr>
                <w:color w:val="auto"/>
                <w:sz w:val="24"/>
              </w:rPr>
              <w:t>氨氮</w:t>
            </w:r>
          </w:p>
        </w:tc>
        <w:tc>
          <w:tcPr>
            <w:tcW w:w="1143" w:type="dxa"/>
            <w:vMerge w:val="continue"/>
            <w:noWrap w:val="0"/>
            <w:vAlign w:val="center"/>
          </w:tcPr>
          <w:p>
            <w:pPr>
              <w:widowControl/>
              <w:spacing w:line="240" w:lineRule="auto"/>
              <w:ind w:firstLine="0" w:firstLineChars="0"/>
              <w:jc w:val="center"/>
              <w:rPr>
                <w:color w:val="auto"/>
                <w:sz w:val="24"/>
              </w:rPr>
            </w:pPr>
          </w:p>
        </w:tc>
        <w:tc>
          <w:tcPr>
            <w:tcW w:w="1200" w:type="dxa"/>
            <w:noWrap w:val="0"/>
            <w:vAlign w:val="center"/>
          </w:tcPr>
          <w:p>
            <w:pPr>
              <w:widowControl/>
              <w:spacing w:line="260" w:lineRule="exact"/>
              <w:ind w:firstLine="0" w:firstLineChars="0"/>
              <w:jc w:val="center"/>
              <w:rPr>
                <w:color w:val="auto"/>
                <w:sz w:val="24"/>
              </w:rPr>
            </w:pPr>
            <w:r>
              <w:rPr>
                <w:rFonts w:hint="eastAsia"/>
                <w:color w:val="auto"/>
                <w:sz w:val="24"/>
              </w:rPr>
              <w:t>完成省定目标</w:t>
            </w:r>
          </w:p>
        </w:tc>
        <w:tc>
          <w:tcPr>
            <w:tcW w:w="1313" w:type="dxa"/>
            <w:vMerge w:val="continue"/>
            <w:noWrap w:val="0"/>
            <w:vAlign w:val="center"/>
          </w:tcPr>
          <w:p>
            <w:pPr>
              <w:spacing w:line="240" w:lineRule="auto"/>
              <w:ind w:firstLine="0" w:firstLineChars="0"/>
              <w:jc w:val="center"/>
              <w:rPr>
                <w:color w:val="auto"/>
                <w:sz w:val="24"/>
              </w:rPr>
            </w:pPr>
          </w:p>
        </w:tc>
        <w:tc>
          <w:tcPr>
            <w:tcW w:w="1231" w:type="dxa"/>
            <w:noWrap w:val="0"/>
            <w:vAlign w:val="center"/>
          </w:tcPr>
          <w:p>
            <w:pPr>
              <w:spacing w:line="240" w:lineRule="auto"/>
              <w:ind w:firstLine="0" w:firstLineChars="0"/>
              <w:jc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97" w:type="dxa"/>
            <w:vMerge w:val="continue"/>
            <w:noWrap w:val="0"/>
            <w:vAlign w:val="center"/>
          </w:tcPr>
          <w:p>
            <w:pPr>
              <w:spacing w:line="240" w:lineRule="auto"/>
              <w:ind w:firstLine="0" w:firstLineChars="0"/>
              <w:rPr>
                <w:color w:val="auto"/>
                <w:sz w:val="24"/>
              </w:rPr>
            </w:pPr>
          </w:p>
        </w:tc>
        <w:tc>
          <w:tcPr>
            <w:tcW w:w="1625" w:type="dxa"/>
            <w:gridSpan w:val="2"/>
            <w:vMerge w:val="continue"/>
            <w:noWrap w:val="0"/>
            <w:vAlign w:val="center"/>
          </w:tcPr>
          <w:p>
            <w:pPr>
              <w:spacing w:line="240" w:lineRule="auto"/>
              <w:ind w:firstLine="0" w:firstLineChars="0"/>
              <w:jc w:val="center"/>
              <w:rPr>
                <w:color w:val="auto"/>
                <w:sz w:val="24"/>
              </w:rPr>
            </w:pPr>
          </w:p>
        </w:tc>
        <w:tc>
          <w:tcPr>
            <w:tcW w:w="1477" w:type="dxa"/>
            <w:noWrap w:val="0"/>
            <w:vAlign w:val="center"/>
          </w:tcPr>
          <w:p>
            <w:pPr>
              <w:spacing w:line="240" w:lineRule="auto"/>
              <w:ind w:firstLine="0" w:firstLineChars="0"/>
              <w:jc w:val="center"/>
              <w:rPr>
                <w:color w:val="auto"/>
                <w:sz w:val="24"/>
              </w:rPr>
            </w:pPr>
            <w:r>
              <w:rPr>
                <w:color w:val="auto"/>
                <w:sz w:val="24"/>
              </w:rPr>
              <w:t>氨氮化物</w:t>
            </w:r>
          </w:p>
        </w:tc>
        <w:tc>
          <w:tcPr>
            <w:tcW w:w="1143" w:type="dxa"/>
            <w:vMerge w:val="continue"/>
            <w:noWrap w:val="0"/>
            <w:vAlign w:val="center"/>
          </w:tcPr>
          <w:p>
            <w:pPr>
              <w:widowControl/>
              <w:spacing w:line="240" w:lineRule="auto"/>
              <w:ind w:firstLine="0" w:firstLineChars="0"/>
              <w:jc w:val="center"/>
              <w:rPr>
                <w:color w:val="auto"/>
                <w:sz w:val="24"/>
              </w:rPr>
            </w:pPr>
          </w:p>
        </w:tc>
        <w:tc>
          <w:tcPr>
            <w:tcW w:w="1200" w:type="dxa"/>
            <w:noWrap w:val="0"/>
            <w:vAlign w:val="center"/>
          </w:tcPr>
          <w:p>
            <w:pPr>
              <w:widowControl/>
              <w:spacing w:line="260" w:lineRule="exact"/>
              <w:ind w:firstLine="0" w:firstLineChars="0"/>
              <w:jc w:val="center"/>
              <w:rPr>
                <w:color w:val="auto"/>
                <w:sz w:val="24"/>
              </w:rPr>
            </w:pPr>
            <w:r>
              <w:rPr>
                <w:rFonts w:hint="eastAsia"/>
                <w:color w:val="auto"/>
                <w:sz w:val="24"/>
              </w:rPr>
              <w:t>完成省定目标</w:t>
            </w:r>
          </w:p>
        </w:tc>
        <w:tc>
          <w:tcPr>
            <w:tcW w:w="1313" w:type="dxa"/>
            <w:vMerge w:val="continue"/>
            <w:noWrap w:val="0"/>
            <w:vAlign w:val="center"/>
          </w:tcPr>
          <w:p>
            <w:pPr>
              <w:spacing w:line="240" w:lineRule="auto"/>
              <w:ind w:firstLine="0" w:firstLineChars="0"/>
              <w:jc w:val="center"/>
              <w:rPr>
                <w:color w:val="auto"/>
                <w:sz w:val="24"/>
              </w:rPr>
            </w:pPr>
          </w:p>
        </w:tc>
        <w:tc>
          <w:tcPr>
            <w:tcW w:w="1231" w:type="dxa"/>
            <w:noWrap w:val="0"/>
            <w:vAlign w:val="center"/>
          </w:tcPr>
          <w:p>
            <w:pPr>
              <w:spacing w:line="240" w:lineRule="auto"/>
              <w:ind w:firstLine="0" w:firstLineChars="0"/>
              <w:jc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7" w:type="dxa"/>
            <w:vMerge w:val="continue"/>
            <w:noWrap w:val="0"/>
            <w:vAlign w:val="center"/>
          </w:tcPr>
          <w:p>
            <w:pPr>
              <w:spacing w:line="240" w:lineRule="auto"/>
              <w:ind w:firstLine="0" w:firstLineChars="0"/>
              <w:rPr>
                <w:color w:val="auto"/>
                <w:sz w:val="24"/>
              </w:rPr>
            </w:pPr>
          </w:p>
        </w:tc>
        <w:tc>
          <w:tcPr>
            <w:tcW w:w="1625" w:type="dxa"/>
            <w:gridSpan w:val="2"/>
            <w:vMerge w:val="continue"/>
            <w:noWrap w:val="0"/>
            <w:vAlign w:val="center"/>
          </w:tcPr>
          <w:p>
            <w:pPr>
              <w:spacing w:line="240" w:lineRule="auto"/>
              <w:ind w:firstLine="0" w:firstLineChars="0"/>
              <w:jc w:val="center"/>
              <w:rPr>
                <w:color w:val="auto"/>
                <w:sz w:val="24"/>
              </w:rPr>
            </w:pPr>
          </w:p>
        </w:tc>
        <w:tc>
          <w:tcPr>
            <w:tcW w:w="1477" w:type="dxa"/>
            <w:noWrap w:val="0"/>
            <w:vAlign w:val="center"/>
          </w:tcPr>
          <w:p>
            <w:pPr>
              <w:spacing w:line="240" w:lineRule="auto"/>
              <w:ind w:firstLine="0" w:firstLineChars="0"/>
              <w:jc w:val="center"/>
              <w:rPr>
                <w:color w:val="auto"/>
                <w:sz w:val="24"/>
              </w:rPr>
            </w:pPr>
            <w:r>
              <w:rPr>
                <w:color w:val="auto"/>
                <w:sz w:val="24"/>
              </w:rPr>
              <w:t>二氧化硫</w:t>
            </w:r>
          </w:p>
        </w:tc>
        <w:tc>
          <w:tcPr>
            <w:tcW w:w="1143" w:type="dxa"/>
            <w:vMerge w:val="continue"/>
            <w:noWrap w:val="0"/>
            <w:vAlign w:val="center"/>
          </w:tcPr>
          <w:p>
            <w:pPr>
              <w:widowControl/>
              <w:spacing w:line="240" w:lineRule="auto"/>
              <w:ind w:firstLine="0" w:firstLineChars="0"/>
              <w:jc w:val="center"/>
              <w:rPr>
                <w:color w:val="auto"/>
                <w:sz w:val="24"/>
              </w:rPr>
            </w:pPr>
          </w:p>
        </w:tc>
        <w:tc>
          <w:tcPr>
            <w:tcW w:w="1200" w:type="dxa"/>
            <w:noWrap w:val="0"/>
            <w:vAlign w:val="center"/>
          </w:tcPr>
          <w:p>
            <w:pPr>
              <w:widowControl/>
              <w:spacing w:line="260" w:lineRule="exact"/>
              <w:ind w:firstLine="0" w:firstLineChars="0"/>
              <w:jc w:val="center"/>
              <w:rPr>
                <w:color w:val="auto"/>
                <w:sz w:val="24"/>
              </w:rPr>
            </w:pPr>
            <w:r>
              <w:rPr>
                <w:rFonts w:hint="eastAsia"/>
                <w:color w:val="auto"/>
                <w:sz w:val="24"/>
              </w:rPr>
              <w:t>完成省定目标</w:t>
            </w:r>
          </w:p>
        </w:tc>
        <w:tc>
          <w:tcPr>
            <w:tcW w:w="1313" w:type="dxa"/>
            <w:vMerge w:val="continue"/>
            <w:noWrap w:val="0"/>
            <w:vAlign w:val="center"/>
          </w:tcPr>
          <w:p>
            <w:pPr>
              <w:spacing w:line="240" w:lineRule="auto"/>
              <w:ind w:firstLine="0" w:firstLineChars="0"/>
              <w:jc w:val="center"/>
              <w:rPr>
                <w:color w:val="auto"/>
                <w:sz w:val="24"/>
              </w:rPr>
            </w:pPr>
          </w:p>
        </w:tc>
        <w:tc>
          <w:tcPr>
            <w:tcW w:w="1231" w:type="dxa"/>
            <w:noWrap w:val="0"/>
            <w:vAlign w:val="center"/>
          </w:tcPr>
          <w:p>
            <w:pPr>
              <w:spacing w:line="240" w:lineRule="auto"/>
              <w:ind w:firstLine="0" w:firstLineChars="0"/>
              <w:jc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97" w:type="dxa"/>
            <w:vMerge w:val="continue"/>
            <w:noWrap w:val="0"/>
            <w:vAlign w:val="center"/>
          </w:tcPr>
          <w:p>
            <w:pPr>
              <w:spacing w:line="240" w:lineRule="auto"/>
              <w:ind w:firstLine="0" w:firstLineChars="0"/>
              <w:rPr>
                <w:color w:val="auto"/>
                <w:sz w:val="24"/>
              </w:rPr>
            </w:pPr>
          </w:p>
        </w:tc>
        <w:tc>
          <w:tcPr>
            <w:tcW w:w="956" w:type="dxa"/>
            <w:vMerge w:val="restart"/>
            <w:noWrap w:val="0"/>
            <w:vAlign w:val="center"/>
          </w:tcPr>
          <w:p>
            <w:pPr>
              <w:spacing w:line="240" w:lineRule="auto"/>
              <w:ind w:firstLine="0" w:firstLineChars="0"/>
              <w:jc w:val="center"/>
              <w:rPr>
                <w:rFonts w:hint="eastAsia"/>
                <w:color w:val="auto"/>
                <w:sz w:val="24"/>
              </w:rPr>
            </w:pPr>
            <w:r>
              <w:rPr>
                <w:rFonts w:hint="eastAsia"/>
                <w:color w:val="auto"/>
                <w:sz w:val="24"/>
              </w:rPr>
              <w:t>空气</w:t>
            </w:r>
          </w:p>
          <w:p>
            <w:pPr>
              <w:spacing w:line="240" w:lineRule="auto"/>
              <w:ind w:firstLine="0" w:firstLineChars="0"/>
              <w:jc w:val="center"/>
              <w:rPr>
                <w:rFonts w:hint="eastAsia"/>
                <w:color w:val="auto"/>
                <w:sz w:val="24"/>
              </w:rPr>
            </w:pPr>
            <w:r>
              <w:rPr>
                <w:rFonts w:hint="eastAsia"/>
                <w:color w:val="auto"/>
                <w:sz w:val="24"/>
              </w:rPr>
              <w:t>质量</w:t>
            </w:r>
          </w:p>
        </w:tc>
        <w:tc>
          <w:tcPr>
            <w:tcW w:w="2146" w:type="dxa"/>
            <w:gridSpan w:val="2"/>
            <w:noWrap w:val="0"/>
            <w:vAlign w:val="center"/>
          </w:tcPr>
          <w:p>
            <w:pPr>
              <w:spacing w:line="240" w:lineRule="auto"/>
              <w:ind w:firstLine="0" w:firstLineChars="0"/>
              <w:jc w:val="center"/>
              <w:rPr>
                <w:color w:val="auto"/>
                <w:sz w:val="24"/>
              </w:rPr>
            </w:pPr>
            <w:r>
              <w:rPr>
                <w:rFonts w:hint="eastAsia"/>
                <w:color w:val="auto"/>
                <w:sz w:val="24"/>
              </w:rPr>
              <w:t>城市</w:t>
            </w:r>
            <w:r>
              <w:rPr>
                <w:color w:val="auto"/>
                <w:sz w:val="24"/>
              </w:rPr>
              <w:t>空气</w:t>
            </w:r>
            <w:r>
              <w:rPr>
                <w:rFonts w:hint="eastAsia"/>
                <w:color w:val="auto"/>
                <w:sz w:val="24"/>
              </w:rPr>
              <w:t>优良</w:t>
            </w:r>
            <w:r>
              <w:rPr>
                <w:color w:val="auto"/>
                <w:sz w:val="24"/>
              </w:rPr>
              <w:t>天数比例（%）</w:t>
            </w:r>
          </w:p>
        </w:tc>
        <w:tc>
          <w:tcPr>
            <w:tcW w:w="1143" w:type="dxa"/>
            <w:noWrap w:val="0"/>
            <w:vAlign w:val="center"/>
          </w:tcPr>
          <w:p>
            <w:pPr>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&gt;80</w:t>
            </w:r>
          </w:p>
        </w:tc>
        <w:tc>
          <w:tcPr>
            <w:tcW w:w="1313" w:type="dxa"/>
            <w:noWrap w:val="0"/>
            <w:vAlign w:val="center"/>
          </w:tcPr>
          <w:p>
            <w:pPr>
              <w:spacing w:line="240" w:lineRule="auto"/>
              <w:ind w:firstLine="0" w:firstLineChars="0"/>
              <w:jc w:val="center"/>
              <w:rPr>
                <w:color w:val="auto"/>
                <w:sz w:val="24"/>
              </w:rPr>
            </w:pPr>
            <w:r>
              <w:rPr>
                <w:rFonts w:hint="eastAsia"/>
                <w:color w:val="auto"/>
                <w:sz w:val="24"/>
              </w:rPr>
              <w:t>—</w:t>
            </w:r>
          </w:p>
        </w:tc>
        <w:tc>
          <w:tcPr>
            <w:tcW w:w="1231" w:type="dxa"/>
            <w:vMerge w:val="restart"/>
            <w:noWrap w:val="0"/>
            <w:vAlign w:val="center"/>
          </w:tcPr>
          <w:p>
            <w:pPr>
              <w:spacing w:line="240" w:lineRule="auto"/>
              <w:ind w:firstLine="0" w:firstLineChars="0"/>
              <w:jc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97" w:type="dxa"/>
            <w:vMerge w:val="continue"/>
            <w:noWrap w:val="0"/>
            <w:vAlign w:val="center"/>
          </w:tcPr>
          <w:p>
            <w:pPr>
              <w:spacing w:line="240" w:lineRule="auto"/>
              <w:ind w:firstLine="0" w:firstLineChars="0"/>
              <w:rPr>
                <w:color w:val="auto"/>
                <w:sz w:val="24"/>
              </w:rPr>
            </w:pPr>
          </w:p>
        </w:tc>
        <w:tc>
          <w:tcPr>
            <w:tcW w:w="956" w:type="dxa"/>
            <w:vMerge w:val="continue"/>
            <w:noWrap w:val="0"/>
            <w:vAlign w:val="center"/>
          </w:tcPr>
          <w:p>
            <w:pPr>
              <w:spacing w:line="240" w:lineRule="auto"/>
              <w:ind w:firstLine="0" w:firstLineChars="0"/>
              <w:jc w:val="center"/>
              <w:rPr>
                <w:color w:val="auto"/>
                <w:sz w:val="24"/>
              </w:rPr>
            </w:pPr>
          </w:p>
        </w:tc>
        <w:tc>
          <w:tcPr>
            <w:tcW w:w="2146" w:type="dxa"/>
            <w:gridSpan w:val="2"/>
            <w:noWrap w:val="0"/>
            <w:vAlign w:val="center"/>
          </w:tcPr>
          <w:p>
            <w:pPr>
              <w:spacing w:line="240" w:lineRule="auto"/>
              <w:ind w:firstLine="0" w:firstLineChars="0"/>
              <w:jc w:val="center"/>
              <w:rPr>
                <w:color w:val="auto"/>
                <w:sz w:val="24"/>
              </w:rPr>
            </w:pPr>
            <w:r>
              <w:rPr>
                <w:color w:val="auto"/>
                <w:sz w:val="24"/>
              </w:rPr>
              <w:t>可吸入</w:t>
            </w:r>
            <w:r>
              <w:rPr>
                <w:rFonts w:hint="eastAsia"/>
                <w:color w:val="auto"/>
                <w:sz w:val="24"/>
              </w:rPr>
              <w:t>细</w:t>
            </w:r>
            <w:r>
              <w:rPr>
                <w:color w:val="auto"/>
                <w:sz w:val="24"/>
              </w:rPr>
              <w:t>颗粒物浓度累计</w:t>
            </w:r>
            <w:r>
              <w:rPr>
                <w:rFonts w:hint="eastAsia"/>
                <w:color w:val="auto"/>
                <w:sz w:val="24"/>
              </w:rPr>
              <w:t>降低</w:t>
            </w:r>
            <w:r>
              <w:rPr>
                <w:color w:val="auto"/>
                <w:sz w:val="24"/>
              </w:rPr>
              <w:t>（%）</w:t>
            </w:r>
          </w:p>
        </w:tc>
        <w:tc>
          <w:tcPr>
            <w:tcW w:w="1143" w:type="dxa"/>
            <w:noWrap w:val="0"/>
            <w:vAlign w:val="center"/>
          </w:tcPr>
          <w:p>
            <w:pPr>
              <w:spacing w:line="240" w:lineRule="auto"/>
              <w:ind w:firstLine="0" w:firstLineChars="0"/>
              <w:jc w:val="center"/>
              <w:rPr>
                <w:color w:val="auto"/>
                <w:sz w:val="24"/>
              </w:rPr>
            </w:pPr>
            <w:r>
              <w:rPr>
                <w:rFonts w:hint="eastAsia"/>
                <w:color w:val="auto"/>
                <w:sz w:val="24"/>
              </w:rPr>
              <w:t>—</w:t>
            </w:r>
          </w:p>
        </w:tc>
        <w:tc>
          <w:tcPr>
            <w:tcW w:w="1200" w:type="dxa"/>
            <w:noWrap w:val="0"/>
            <w:vAlign w:val="center"/>
          </w:tcPr>
          <w:p>
            <w:pPr>
              <w:spacing w:line="240" w:lineRule="auto"/>
              <w:ind w:firstLine="0" w:firstLineChars="0"/>
              <w:jc w:val="center"/>
              <w:rPr>
                <w:color w:val="auto"/>
                <w:sz w:val="24"/>
              </w:rPr>
            </w:pPr>
            <w:r>
              <w:rPr>
                <w:rFonts w:hint="eastAsia"/>
                <w:color w:val="auto"/>
                <w:sz w:val="24"/>
              </w:rPr>
              <w:t>[5]</w:t>
            </w:r>
          </w:p>
        </w:tc>
        <w:tc>
          <w:tcPr>
            <w:tcW w:w="1313" w:type="dxa"/>
            <w:noWrap w:val="0"/>
            <w:vAlign w:val="center"/>
          </w:tcPr>
          <w:p>
            <w:pPr>
              <w:spacing w:line="240" w:lineRule="auto"/>
              <w:ind w:firstLine="0" w:firstLineChars="0"/>
              <w:jc w:val="center"/>
              <w:rPr>
                <w:color w:val="auto"/>
                <w:sz w:val="24"/>
              </w:rPr>
            </w:pPr>
            <w:r>
              <w:rPr>
                <w:rFonts w:hint="eastAsia"/>
                <w:color w:val="auto"/>
                <w:sz w:val="24"/>
              </w:rPr>
              <w:t>—</w:t>
            </w:r>
          </w:p>
        </w:tc>
        <w:tc>
          <w:tcPr>
            <w:tcW w:w="1231" w:type="dxa"/>
            <w:vMerge w:val="continue"/>
            <w:noWrap w:val="0"/>
            <w:vAlign w:val="center"/>
          </w:tcPr>
          <w:p>
            <w:pPr>
              <w:spacing w:line="240" w:lineRule="auto"/>
              <w:ind w:firstLine="0" w:firstLineChars="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vAlign w:val="center"/>
          </w:tcPr>
          <w:p>
            <w:pPr>
              <w:spacing w:line="240" w:lineRule="auto"/>
              <w:ind w:firstLine="0" w:firstLineChars="0"/>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汉江干流出境断面水质</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Ⅱ类</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保持Ⅱ类</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7" w:type="dxa"/>
            <w:vMerge w:val="continue"/>
            <w:noWrap w:val="0"/>
            <w:vAlign w:val="center"/>
          </w:tcPr>
          <w:p>
            <w:pPr>
              <w:spacing w:line="240" w:lineRule="auto"/>
              <w:ind w:firstLine="0" w:firstLineChars="0"/>
              <w:rPr>
                <w:color w:val="auto"/>
                <w:sz w:val="24"/>
              </w:rPr>
            </w:pPr>
          </w:p>
        </w:tc>
        <w:tc>
          <w:tcPr>
            <w:tcW w:w="3102" w:type="dxa"/>
            <w:gridSpan w:val="3"/>
            <w:noWrap w:val="0"/>
            <w:vAlign w:val="center"/>
          </w:tcPr>
          <w:p>
            <w:pPr>
              <w:ind w:firstLine="0" w:firstLineChars="0"/>
              <w:jc w:val="center"/>
              <w:rPr>
                <w:rFonts w:hint="eastAsia"/>
                <w:color w:val="auto"/>
                <w:sz w:val="24"/>
              </w:rPr>
            </w:pPr>
            <w:r>
              <w:rPr>
                <w:rFonts w:hint="eastAsia"/>
                <w:color w:val="auto"/>
                <w:sz w:val="24"/>
              </w:rPr>
              <w:t>丹江干流出境断面水质</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Ⅱ类</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保持Ⅱ类</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7" w:type="dxa"/>
            <w:vMerge w:val="continue"/>
            <w:noWrap w:val="0"/>
            <w:vAlign w:val="center"/>
          </w:tcPr>
          <w:p>
            <w:pPr>
              <w:spacing w:line="240" w:lineRule="auto"/>
              <w:ind w:firstLine="0" w:firstLineChars="0"/>
              <w:rPr>
                <w:color w:val="auto"/>
                <w:sz w:val="24"/>
              </w:rPr>
            </w:pPr>
          </w:p>
        </w:tc>
        <w:tc>
          <w:tcPr>
            <w:tcW w:w="3102" w:type="dxa"/>
            <w:gridSpan w:val="3"/>
            <w:noWrap w:val="0"/>
            <w:vAlign w:val="center"/>
          </w:tcPr>
          <w:p>
            <w:pPr>
              <w:ind w:firstLine="0" w:firstLineChars="0"/>
              <w:jc w:val="center"/>
              <w:rPr>
                <w:rFonts w:hint="eastAsia"/>
                <w:color w:val="auto"/>
                <w:sz w:val="24"/>
              </w:rPr>
            </w:pPr>
            <w:r>
              <w:rPr>
                <w:color w:val="auto"/>
                <w:sz w:val="24"/>
              </w:rPr>
              <w:t>森林覆盖率（%）</w:t>
            </w:r>
          </w:p>
        </w:tc>
        <w:tc>
          <w:tcPr>
            <w:tcW w:w="1143" w:type="dxa"/>
            <w:noWrap w:val="0"/>
            <w:vAlign w:val="center"/>
          </w:tcPr>
          <w:p>
            <w:pPr>
              <w:spacing w:line="240" w:lineRule="auto"/>
              <w:ind w:firstLine="0" w:firstLineChars="0"/>
              <w:jc w:val="center"/>
              <w:rPr>
                <w:rFonts w:hint="eastAsia"/>
                <w:color w:val="auto"/>
                <w:sz w:val="24"/>
              </w:rPr>
            </w:pPr>
            <w:r>
              <w:rPr>
                <w:rFonts w:hint="eastAsia"/>
                <w:color w:val="auto"/>
                <w:sz w:val="24"/>
              </w:rPr>
              <w:t>64</w:t>
            </w:r>
          </w:p>
        </w:tc>
        <w:tc>
          <w:tcPr>
            <w:tcW w:w="1200" w:type="dxa"/>
            <w:noWrap w:val="0"/>
            <w:vAlign w:val="center"/>
          </w:tcPr>
          <w:p>
            <w:pPr>
              <w:spacing w:line="240" w:lineRule="auto"/>
              <w:ind w:firstLine="0" w:firstLineChars="0"/>
              <w:jc w:val="center"/>
              <w:rPr>
                <w:rFonts w:hint="eastAsia"/>
                <w:color w:val="auto"/>
                <w:sz w:val="24"/>
              </w:rPr>
            </w:pPr>
            <w:r>
              <w:rPr>
                <w:rFonts w:hint="eastAsia"/>
                <w:color w:val="auto"/>
                <w:sz w:val="24"/>
              </w:rPr>
              <w:t>65</w:t>
            </w:r>
          </w:p>
        </w:tc>
        <w:tc>
          <w:tcPr>
            <w:tcW w:w="1313" w:type="dxa"/>
            <w:noWrap w:val="0"/>
            <w:vAlign w:val="center"/>
          </w:tcPr>
          <w:p>
            <w:pPr>
              <w:spacing w:line="240" w:lineRule="auto"/>
              <w:ind w:firstLine="0" w:firstLineChars="0"/>
              <w:jc w:val="center"/>
              <w:rPr>
                <w:rFonts w:hint="eastAsia"/>
                <w:color w:val="auto"/>
                <w:sz w:val="24"/>
              </w:rPr>
            </w:pPr>
            <w:r>
              <w:rPr>
                <w:rFonts w:hint="eastAsia"/>
                <w:color w:val="auto"/>
                <w:sz w:val="24"/>
              </w:rPr>
              <w:t>[1]</w:t>
            </w:r>
          </w:p>
        </w:tc>
        <w:tc>
          <w:tcPr>
            <w:tcW w:w="1231" w:type="dxa"/>
            <w:noWrap w:val="0"/>
            <w:vAlign w:val="center"/>
          </w:tcPr>
          <w:p>
            <w:pPr>
              <w:spacing w:line="240" w:lineRule="auto"/>
              <w:ind w:firstLine="0" w:firstLineChars="0"/>
              <w:jc w:val="center"/>
              <w:rPr>
                <w:rFonts w:hint="eastAsia"/>
                <w:color w:val="auto"/>
                <w:sz w:val="24"/>
              </w:rPr>
            </w:pPr>
            <w:r>
              <w:rPr>
                <w:rFonts w:hint="eastAsia"/>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86" w:type="dxa"/>
            <w:gridSpan w:val="8"/>
            <w:noWrap w:val="0"/>
            <w:vAlign w:val="center"/>
          </w:tcPr>
          <w:p>
            <w:pPr>
              <w:spacing w:line="240" w:lineRule="auto"/>
              <w:ind w:firstLine="0" w:firstLineChars="0"/>
              <w:rPr>
                <w:color w:val="auto"/>
                <w:sz w:val="24"/>
              </w:rPr>
            </w:pPr>
            <w:r>
              <w:rPr>
                <w:rFonts w:ascii="仿宋_GB2312" w:hAnsi="仿宋" w:eastAsia="仿宋_GB2312"/>
                <w:color w:val="auto"/>
                <w:kern w:val="0"/>
                <w:sz w:val="24"/>
              </w:rPr>
              <w:t>注：生产总值</w:t>
            </w:r>
            <w:r>
              <w:rPr>
                <w:rFonts w:hint="eastAsia" w:ascii="仿宋_GB2312" w:hAnsi="仿宋" w:eastAsia="仿宋_GB2312"/>
                <w:color w:val="auto"/>
                <w:kern w:val="0"/>
                <w:sz w:val="24"/>
              </w:rPr>
              <w:t>绝对数为</w:t>
            </w:r>
            <w:r>
              <w:rPr>
                <w:rFonts w:ascii="仿宋_GB2312" w:hAnsi="仿宋" w:eastAsia="仿宋_GB2312"/>
                <w:color w:val="auto"/>
                <w:kern w:val="0"/>
                <w:sz w:val="24"/>
              </w:rPr>
              <w:t>当年价，</w:t>
            </w:r>
            <w:r>
              <w:rPr>
                <w:rFonts w:hint="eastAsia" w:ascii="仿宋_GB2312" w:hAnsi="仿宋" w:eastAsia="仿宋_GB2312"/>
                <w:color w:val="auto"/>
                <w:kern w:val="0"/>
                <w:sz w:val="24"/>
              </w:rPr>
              <w:t>各指标</w:t>
            </w:r>
            <w:r>
              <w:rPr>
                <w:rFonts w:ascii="仿宋_GB2312" w:hAnsi="仿宋" w:eastAsia="仿宋_GB2312"/>
                <w:color w:val="auto"/>
                <w:kern w:val="0"/>
                <w:sz w:val="24"/>
              </w:rPr>
              <w:t>增长速度</w:t>
            </w:r>
            <w:r>
              <w:rPr>
                <w:rFonts w:hint="eastAsia" w:ascii="仿宋_GB2312" w:hAnsi="仿宋" w:eastAsia="仿宋_GB2312"/>
                <w:color w:val="auto"/>
                <w:kern w:val="0"/>
                <w:sz w:val="24"/>
              </w:rPr>
              <w:t>为</w:t>
            </w:r>
            <w:r>
              <w:rPr>
                <w:rFonts w:ascii="仿宋_GB2312" w:hAnsi="仿宋" w:eastAsia="仿宋_GB2312"/>
                <w:color w:val="auto"/>
                <w:kern w:val="0"/>
                <w:sz w:val="24"/>
              </w:rPr>
              <w:t>可比价</w:t>
            </w:r>
            <w:r>
              <w:rPr>
                <w:rFonts w:hint="eastAsia" w:ascii="仿宋_GB2312" w:hAnsi="仿宋" w:eastAsia="仿宋_GB2312"/>
                <w:color w:val="auto"/>
                <w:kern w:val="0"/>
                <w:sz w:val="24"/>
              </w:rPr>
              <w:t>，[ ]</w:t>
            </w:r>
            <w:r>
              <w:rPr>
                <w:rFonts w:ascii="仿宋_GB2312" w:hAnsi="仿宋" w:eastAsia="仿宋_GB2312"/>
                <w:color w:val="auto"/>
                <w:kern w:val="0"/>
                <w:sz w:val="24"/>
              </w:rPr>
              <w:t>表示五年累计数。</w:t>
            </w:r>
          </w:p>
        </w:tc>
      </w:tr>
    </w:tbl>
    <w:p>
      <w:pPr>
        <w:spacing w:before="156" w:beforeLines="50" w:line="240" w:lineRule="auto"/>
        <w:ind w:firstLine="643"/>
        <w:rPr>
          <w:rFonts w:hint="eastAsia" w:ascii="仿宋_GB2312" w:hAnsi="仿宋" w:eastAsia="仿宋_GB2312"/>
          <w:color w:val="auto"/>
          <w:kern w:val="0"/>
          <w:szCs w:val="32"/>
        </w:rPr>
      </w:pPr>
      <w:r>
        <w:rPr>
          <w:rFonts w:hint="eastAsia" w:ascii="仿宋_GB2312" w:hAnsi="仿宋" w:eastAsia="仿宋_GB2312"/>
          <w:b/>
          <w:bCs/>
          <w:color w:val="auto"/>
          <w:kern w:val="0"/>
          <w:szCs w:val="32"/>
        </w:rPr>
        <w:t>一县一业。</w:t>
      </w:r>
      <w:r>
        <w:rPr>
          <w:rFonts w:hint="eastAsia" w:ascii="仿宋_GB2312" w:hAnsi="仿宋" w:eastAsia="仿宋_GB2312"/>
          <w:color w:val="auto"/>
          <w:kern w:val="0"/>
          <w:szCs w:val="32"/>
        </w:rPr>
        <w:t>根据主体功能区规划和资源禀赋，按照“因地制宜、突出主业”的原则，明确陕南各县“一县一产业”发展定位，加大扶持力度，促进县域产业快速发展，壮大县域经济实力，实现追赶超越。</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outlineLvl w:val="9"/>
        <w:rPr>
          <w:rFonts w:hint="eastAsia" w:ascii="仿宋_GB2312" w:hAnsi="仿宋" w:eastAsia="仿宋_GB2312"/>
          <w:b/>
          <w:bCs/>
          <w:color w:val="auto"/>
          <w:kern w:val="0"/>
          <w:szCs w:val="32"/>
        </w:rPr>
      </w:pPr>
      <w:r>
        <w:rPr>
          <w:rFonts w:hint="eastAsia" w:ascii="仿宋_GB2312" w:hAnsi="仿宋" w:eastAsia="仿宋_GB2312"/>
          <w:b/>
          <w:bCs/>
          <w:color w:val="auto"/>
          <w:kern w:val="0"/>
          <w:szCs w:val="32"/>
        </w:rPr>
        <w:t>表2  “一县一产业”规划目标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472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jc w:val="center"/>
        </w:trPr>
        <w:tc>
          <w:tcPr>
            <w:tcW w:w="1880" w:type="dxa"/>
            <w:noWrap w:val="0"/>
            <w:vAlign w:val="center"/>
          </w:tcPr>
          <w:p>
            <w:pPr>
              <w:spacing w:line="240" w:lineRule="auto"/>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“一县一业”</w:t>
            </w:r>
          </w:p>
        </w:tc>
        <w:tc>
          <w:tcPr>
            <w:tcW w:w="4720" w:type="dxa"/>
            <w:noWrap w:val="0"/>
            <w:vAlign w:val="center"/>
          </w:tcPr>
          <w:p>
            <w:pPr>
              <w:spacing w:line="240" w:lineRule="auto"/>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县（区）</w:t>
            </w:r>
          </w:p>
        </w:tc>
        <w:tc>
          <w:tcPr>
            <w:tcW w:w="1608" w:type="dxa"/>
            <w:noWrap w:val="0"/>
            <w:vAlign w:val="center"/>
          </w:tcPr>
          <w:p>
            <w:pPr>
              <w:spacing w:line="240" w:lineRule="auto"/>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年均增速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8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农业产业化</w:t>
            </w:r>
          </w:p>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（增加值）</w:t>
            </w:r>
          </w:p>
        </w:tc>
        <w:tc>
          <w:tcPr>
            <w:tcW w:w="472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西乡县、宁强县、平利县、紫阳县、白河县</w:t>
            </w:r>
          </w:p>
        </w:tc>
        <w:tc>
          <w:tcPr>
            <w:tcW w:w="1608"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8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现代服务业</w:t>
            </w:r>
          </w:p>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(增加值)</w:t>
            </w:r>
          </w:p>
        </w:tc>
        <w:tc>
          <w:tcPr>
            <w:tcW w:w="472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汉台区、洋县、略阳县、镇巴县、商州区、商南县、山阳县、洛南县</w:t>
            </w:r>
          </w:p>
        </w:tc>
        <w:tc>
          <w:tcPr>
            <w:tcW w:w="1608"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880" w:type="dxa"/>
            <w:vMerge w:val="restart"/>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循环工业</w:t>
            </w:r>
          </w:p>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（总产值）</w:t>
            </w:r>
          </w:p>
        </w:tc>
        <w:tc>
          <w:tcPr>
            <w:tcW w:w="472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勉县</w:t>
            </w:r>
          </w:p>
        </w:tc>
        <w:tc>
          <w:tcPr>
            <w:tcW w:w="1608"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80" w:type="dxa"/>
            <w:vMerge w:val="continue"/>
            <w:noWrap w:val="0"/>
            <w:vAlign w:val="center"/>
          </w:tcPr>
          <w:p>
            <w:pPr>
              <w:spacing w:line="240" w:lineRule="auto"/>
              <w:ind w:firstLine="0" w:firstLineChars="0"/>
              <w:rPr>
                <w:color w:val="auto"/>
                <w:sz w:val="24"/>
              </w:rPr>
            </w:pPr>
          </w:p>
        </w:tc>
        <w:tc>
          <w:tcPr>
            <w:tcW w:w="472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汉滨区、旬阳县、汉阴县、丹凤县</w:t>
            </w:r>
          </w:p>
        </w:tc>
        <w:tc>
          <w:tcPr>
            <w:tcW w:w="1608"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25%以上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8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旅游业</w:t>
            </w:r>
          </w:p>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（总收入）</w:t>
            </w:r>
          </w:p>
        </w:tc>
        <w:tc>
          <w:tcPr>
            <w:tcW w:w="472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南郑县、留坝县、佛坪县、宁陕县、镇坪县、石泉县、岚皋县、柞水县、镇安县</w:t>
            </w:r>
          </w:p>
        </w:tc>
        <w:tc>
          <w:tcPr>
            <w:tcW w:w="1608"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88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战略性新兴产业（总产值）</w:t>
            </w:r>
          </w:p>
        </w:tc>
        <w:tc>
          <w:tcPr>
            <w:tcW w:w="4720"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城固县</w:t>
            </w:r>
          </w:p>
        </w:tc>
        <w:tc>
          <w:tcPr>
            <w:tcW w:w="1608" w:type="dxa"/>
            <w:noWrap w:val="0"/>
            <w:vAlign w:val="center"/>
          </w:tcPr>
          <w:p>
            <w:pPr>
              <w:spacing w:line="240" w:lineRule="auto"/>
              <w:ind w:firstLine="0" w:firstLineChars="0"/>
              <w:jc w:val="center"/>
              <w:rPr>
                <w:rFonts w:hint="eastAsia" w:ascii="仿宋" w:hAnsi="仿宋"/>
                <w:color w:val="auto"/>
                <w:kern w:val="0"/>
                <w:sz w:val="24"/>
              </w:rPr>
            </w:pPr>
            <w:r>
              <w:rPr>
                <w:rFonts w:hint="eastAsia" w:ascii="仿宋" w:hAnsi="仿宋"/>
                <w:color w:val="auto"/>
                <w:kern w:val="0"/>
                <w:sz w:val="24"/>
              </w:rPr>
              <w:t>20%以上</w:t>
            </w:r>
          </w:p>
        </w:tc>
      </w:tr>
    </w:tbl>
    <w:p>
      <w:pPr>
        <w:spacing w:before="156" w:beforeLines="50"/>
        <w:ind w:firstLine="643"/>
        <w:rPr>
          <w:rFonts w:hint="eastAsia" w:ascii="仿宋_GB2312" w:eastAsia="仿宋_GB2312"/>
          <w:color w:val="auto"/>
        </w:rPr>
      </w:pPr>
      <w:r>
        <w:rPr>
          <w:rFonts w:hint="eastAsia" w:ascii="仿宋_GB2312" w:eastAsia="仿宋_GB2312"/>
          <w:b/>
          <w:color w:val="auto"/>
        </w:rPr>
        <w:t>脱贫攻坚。</w:t>
      </w:r>
      <w:r>
        <w:rPr>
          <w:rFonts w:hint="eastAsia" w:ascii="仿宋_GB2312" w:eastAsia="仿宋_GB2312"/>
          <w:color w:val="auto"/>
        </w:rPr>
        <w:t>按照“五个一批”、“六个精准”的总体要求，将脱贫攻坚与新型城镇化、新农村建设、移民搬迁工程、特色产业发展结合起来，以建档立卡贫困人口为主体，采取超常规的举措，坚决打赢脱贫攻坚战。到2020年,160.87万贫困人口全部脱贫，贫困县全部摘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00" w:lineRule="exact"/>
        <w:ind w:left="0" w:leftChars="0" w:right="0" w:rightChars="0" w:firstLine="0" w:firstLineChars="0"/>
        <w:jc w:val="center"/>
        <w:textAlignment w:val="auto"/>
        <w:outlineLvl w:val="9"/>
        <w:rPr>
          <w:rFonts w:hint="eastAsia" w:ascii="仿宋_GB2312" w:hAnsi="仿宋" w:eastAsia="仿宋_GB2312"/>
          <w:b/>
          <w:bCs/>
          <w:color w:val="auto"/>
          <w:kern w:val="0"/>
          <w:szCs w:val="32"/>
        </w:rPr>
      </w:pPr>
      <w:r>
        <w:rPr>
          <w:rFonts w:hint="eastAsia" w:ascii="仿宋_GB2312" w:hAnsi="仿宋" w:eastAsia="仿宋_GB2312"/>
          <w:b/>
          <w:bCs/>
          <w:color w:val="auto"/>
          <w:kern w:val="0"/>
          <w:szCs w:val="32"/>
        </w:rPr>
        <w:t>表3  陕南脱贫攻坚目标任务汇总</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361"/>
        <w:gridCol w:w="1361"/>
        <w:gridCol w:w="1487"/>
        <w:gridCol w:w="136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361" w:type="dxa"/>
            <w:noWrap w:val="0"/>
            <w:vAlign w:val="center"/>
          </w:tcPr>
          <w:p>
            <w:pPr>
              <w:spacing w:line="280" w:lineRule="exact"/>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市(县)</w:t>
            </w:r>
          </w:p>
        </w:tc>
        <w:tc>
          <w:tcPr>
            <w:tcW w:w="1361" w:type="dxa"/>
            <w:noWrap w:val="0"/>
            <w:vAlign w:val="center"/>
          </w:tcPr>
          <w:p>
            <w:pPr>
              <w:spacing w:line="280" w:lineRule="exact"/>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脱贫人口（万人）/时间节点(年)</w:t>
            </w:r>
          </w:p>
        </w:tc>
        <w:tc>
          <w:tcPr>
            <w:tcW w:w="1361" w:type="dxa"/>
            <w:noWrap w:val="0"/>
            <w:vAlign w:val="center"/>
          </w:tcPr>
          <w:p>
            <w:pPr>
              <w:spacing w:line="280" w:lineRule="exact"/>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市(县)</w:t>
            </w:r>
          </w:p>
        </w:tc>
        <w:tc>
          <w:tcPr>
            <w:tcW w:w="1487" w:type="dxa"/>
            <w:noWrap w:val="0"/>
            <w:vAlign w:val="center"/>
          </w:tcPr>
          <w:p>
            <w:pPr>
              <w:spacing w:line="280" w:lineRule="exact"/>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脱贫人口（万人）/时间节点(年)</w:t>
            </w:r>
          </w:p>
        </w:tc>
        <w:tc>
          <w:tcPr>
            <w:tcW w:w="1361" w:type="dxa"/>
            <w:noWrap w:val="0"/>
            <w:vAlign w:val="center"/>
          </w:tcPr>
          <w:p>
            <w:pPr>
              <w:spacing w:line="280" w:lineRule="exact"/>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市(县)</w:t>
            </w:r>
          </w:p>
        </w:tc>
        <w:tc>
          <w:tcPr>
            <w:tcW w:w="1579" w:type="dxa"/>
            <w:noWrap w:val="0"/>
            <w:vAlign w:val="center"/>
          </w:tcPr>
          <w:p>
            <w:pPr>
              <w:spacing w:line="280" w:lineRule="exact"/>
              <w:ind w:firstLine="0" w:firstLineChars="0"/>
              <w:jc w:val="center"/>
              <w:rPr>
                <w:rFonts w:hint="eastAsia" w:ascii="黑体" w:hAnsi="黑体" w:eastAsia="黑体" w:cs="黑体"/>
                <w:b/>
                <w:bCs/>
                <w:color w:val="auto"/>
                <w:kern w:val="0"/>
                <w:sz w:val="24"/>
              </w:rPr>
            </w:pPr>
            <w:r>
              <w:rPr>
                <w:rFonts w:hint="eastAsia" w:ascii="黑体" w:hAnsi="黑体" w:eastAsia="黑体" w:cs="黑体"/>
                <w:b/>
                <w:bCs/>
                <w:color w:val="auto"/>
                <w:kern w:val="0"/>
                <w:sz w:val="24"/>
              </w:rPr>
              <w:t>脱贫人口（万人）/时间节点(年)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_GB2312" w:hAnsi="仿宋" w:eastAsia="仿宋_GB2312"/>
                <w:b/>
                <w:bCs/>
                <w:color w:val="auto"/>
                <w:kern w:val="0"/>
                <w:sz w:val="24"/>
              </w:rPr>
              <w:t>汉中市</w:t>
            </w:r>
          </w:p>
        </w:tc>
        <w:tc>
          <w:tcPr>
            <w:tcW w:w="1361"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_GB2312" w:hAnsi="仿宋" w:eastAsia="仿宋_GB2312"/>
                <w:b/>
                <w:bCs/>
                <w:color w:val="auto"/>
                <w:kern w:val="0"/>
                <w:sz w:val="24"/>
              </w:rPr>
              <w:t>53.8/2018</w:t>
            </w:r>
          </w:p>
        </w:tc>
        <w:tc>
          <w:tcPr>
            <w:tcW w:w="1361"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_GB2312" w:hAnsi="仿宋" w:eastAsia="仿宋_GB2312"/>
                <w:b/>
                <w:bCs/>
                <w:color w:val="auto"/>
                <w:kern w:val="0"/>
                <w:sz w:val="24"/>
              </w:rPr>
              <w:t>安康市</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_GB2312" w:hAnsi="仿宋" w:eastAsia="仿宋_GB2312"/>
                <w:b/>
                <w:bCs/>
                <w:color w:val="auto"/>
                <w:kern w:val="0"/>
                <w:sz w:val="24"/>
              </w:rPr>
              <w:t>58.17/2019</w:t>
            </w:r>
          </w:p>
        </w:tc>
        <w:tc>
          <w:tcPr>
            <w:tcW w:w="1361" w:type="dxa"/>
            <w:noWrap w:val="0"/>
            <w:vAlign w:val="center"/>
          </w:tcPr>
          <w:p>
            <w:pPr>
              <w:ind w:firstLine="0" w:firstLineChars="0"/>
              <w:jc w:val="center"/>
              <w:rPr>
                <w:rFonts w:hint="eastAsia" w:ascii="仿宋" w:hAnsi="仿宋"/>
                <w:b/>
                <w:bCs/>
                <w:color w:val="auto"/>
                <w:kern w:val="0"/>
                <w:sz w:val="24"/>
              </w:rPr>
            </w:pPr>
            <w:r>
              <w:rPr>
                <w:rFonts w:hint="eastAsia" w:ascii="仿宋_GB2312" w:hAnsi="仿宋" w:eastAsia="仿宋_GB2312"/>
                <w:b/>
                <w:bCs/>
                <w:color w:val="auto"/>
                <w:kern w:val="0"/>
                <w:sz w:val="24"/>
              </w:rPr>
              <w:t>商洛市</w:t>
            </w:r>
          </w:p>
        </w:tc>
        <w:tc>
          <w:tcPr>
            <w:tcW w:w="1579"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_GB2312" w:hAnsi="仿宋" w:eastAsia="仿宋_GB2312"/>
                <w:b/>
                <w:bCs/>
                <w:color w:val="auto"/>
                <w:kern w:val="0"/>
                <w:sz w:val="24"/>
              </w:rPr>
              <w:t>48.9/2020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汉台区</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2.63/2017</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汉滨区</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16.39/2019</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商州区</w:t>
            </w:r>
          </w:p>
        </w:tc>
        <w:tc>
          <w:tcPr>
            <w:tcW w:w="1579"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11.42/2020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南郑县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6.82/2018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平利县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4.05/2019</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洛南县</w:t>
            </w:r>
          </w:p>
        </w:tc>
        <w:tc>
          <w:tcPr>
            <w:tcW w:w="1579"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8.64/2019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城固县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6.34/2018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旬阳县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8.74/2018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山阳县</w:t>
            </w:r>
          </w:p>
        </w:tc>
        <w:tc>
          <w:tcPr>
            <w:tcW w:w="1579"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9.58/2020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洋县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6.83/2018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石泉县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3.83/2019</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镇安县</w:t>
            </w:r>
          </w:p>
        </w:tc>
        <w:tc>
          <w:tcPr>
            <w:tcW w:w="1579"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5.77/2020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勉县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6.73/2018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紫阳县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8.43/2019</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丹凤县</w:t>
            </w:r>
          </w:p>
        </w:tc>
        <w:tc>
          <w:tcPr>
            <w:tcW w:w="1579"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6.11/2020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西乡县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6.79/2018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白河县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4.18/2019</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商南县</w:t>
            </w:r>
          </w:p>
        </w:tc>
        <w:tc>
          <w:tcPr>
            <w:tcW w:w="1579"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4.36/2020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略阳县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4.38/2018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汉阴县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5.65/2019</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柞水县</w:t>
            </w:r>
          </w:p>
        </w:tc>
        <w:tc>
          <w:tcPr>
            <w:tcW w:w="1579"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3.12/2019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镇巴县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5.57/2018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镇坪县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1.08/2018</w:t>
            </w:r>
          </w:p>
        </w:tc>
        <w:tc>
          <w:tcPr>
            <w:tcW w:w="1361" w:type="dxa"/>
            <w:noWrap w:val="0"/>
            <w:vAlign w:val="top"/>
          </w:tcPr>
          <w:p>
            <w:pPr>
              <w:ind w:firstLine="0" w:firstLineChars="0"/>
              <w:jc w:val="center"/>
              <w:rPr>
                <w:rFonts w:hint="eastAsia" w:ascii="仿宋" w:hAnsi="仿宋"/>
                <w:color w:val="auto"/>
                <w:kern w:val="0"/>
                <w:sz w:val="24"/>
              </w:rPr>
            </w:pPr>
          </w:p>
        </w:tc>
        <w:tc>
          <w:tcPr>
            <w:tcW w:w="1579" w:type="dxa"/>
            <w:noWrap w:val="0"/>
            <w:vAlign w:val="top"/>
          </w:tcPr>
          <w:p>
            <w:pPr>
              <w:ind w:firstLine="0" w:firstLineChars="0"/>
              <w:jc w:val="center"/>
              <w:rPr>
                <w:rFonts w:hint="eastAsia" w:ascii="仿宋" w:hAnsi="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宁强县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6.85/2018</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岚皋县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4.23/2019</w:t>
            </w:r>
          </w:p>
        </w:tc>
        <w:tc>
          <w:tcPr>
            <w:tcW w:w="1361" w:type="dxa"/>
            <w:noWrap w:val="0"/>
            <w:vAlign w:val="top"/>
          </w:tcPr>
          <w:p>
            <w:pPr>
              <w:ind w:firstLine="0" w:firstLineChars="0"/>
              <w:jc w:val="center"/>
              <w:rPr>
                <w:rFonts w:hint="eastAsia" w:ascii="仿宋" w:hAnsi="仿宋"/>
                <w:color w:val="auto"/>
                <w:kern w:val="0"/>
                <w:sz w:val="24"/>
              </w:rPr>
            </w:pPr>
          </w:p>
        </w:tc>
        <w:tc>
          <w:tcPr>
            <w:tcW w:w="1579" w:type="dxa"/>
            <w:noWrap w:val="0"/>
            <w:vAlign w:val="top"/>
          </w:tcPr>
          <w:p>
            <w:pPr>
              <w:ind w:firstLine="0" w:firstLineChars="0"/>
              <w:jc w:val="center"/>
              <w:rPr>
                <w:rFonts w:hint="eastAsia" w:ascii="仿宋" w:hAnsi="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留坝县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0.53/2017</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宁陕县</w:t>
            </w:r>
          </w:p>
        </w:tc>
        <w:tc>
          <w:tcPr>
            <w:tcW w:w="1487" w:type="dxa"/>
            <w:noWrap w:val="0"/>
            <w:vAlign w:val="center"/>
          </w:tcPr>
          <w:p>
            <w:pPr>
              <w:ind w:firstLine="0" w:firstLineChars="0"/>
              <w:jc w:val="center"/>
              <w:rPr>
                <w:rFonts w:hint="eastAsia" w:ascii="仿宋_GB2312" w:hAnsi="仿宋" w:eastAsia="仿宋_GB2312"/>
                <w:b/>
                <w:bCs/>
                <w:color w:val="auto"/>
                <w:kern w:val="0"/>
                <w:sz w:val="24"/>
              </w:rPr>
            </w:pPr>
            <w:r>
              <w:rPr>
                <w:rFonts w:hint="eastAsia" w:ascii="仿宋" w:hAnsi="仿宋"/>
                <w:color w:val="auto"/>
                <w:kern w:val="0"/>
                <w:sz w:val="24"/>
              </w:rPr>
              <w:t>1.59/2018</w:t>
            </w:r>
          </w:p>
        </w:tc>
        <w:tc>
          <w:tcPr>
            <w:tcW w:w="1361" w:type="dxa"/>
            <w:noWrap w:val="0"/>
            <w:vAlign w:val="top"/>
          </w:tcPr>
          <w:p>
            <w:pPr>
              <w:ind w:firstLine="0" w:firstLineChars="0"/>
              <w:jc w:val="center"/>
              <w:rPr>
                <w:rFonts w:hint="eastAsia" w:ascii="仿宋" w:hAnsi="仿宋"/>
                <w:color w:val="auto"/>
                <w:kern w:val="0"/>
                <w:sz w:val="24"/>
              </w:rPr>
            </w:pPr>
          </w:p>
        </w:tc>
        <w:tc>
          <w:tcPr>
            <w:tcW w:w="1579" w:type="dxa"/>
            <w:noWrap w:val="0"/>
            <w:vAlign w:val="top"/>
          </w:tcPr>
          <w:p>
            <w:pPr>
              <w:ind w:firstLine="0" w:firstLineChars="0"/>
              <w:jc w:val="center"/>
              <w:rPr>
                <w:rFonts w:hint="eastAsia" w:ascii="仿宋" w:hAnsi="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佛坪县</w:t>
            </w:r>
          </w:p>
        </w:tc>
        <w:tc>
          <w:tcPr>
            <w:tcW w:w="1361" w:type="dxa"/>
            <w:noWrap w:val="0"/>
            <w:vAlign w:val="center"/>
          </w:tcPr>
          <w:p>
            <w:pPr>
              <w:ind w:firstLine="0" w:firstLineChars="0"/>
              <w:jc w:val="center"/>
              <w:rPr>
                <w:rFonts w:hint="eastAsia" w:ascii="仿宋" w:hAnsi="仿宋"/>
                <w:color w:val="auto"/>
                <w:kern w:val="0"/>
                <w:sz w:val="24"/>
              </w:rPr>
            </w:pPr>
            <w:r>
              <w:rPr>
                <w:rFonts w:hint="eastAsia" w:ascii="仿宋" w:hAnsi="仿宋"/>
                <w:color w:val="auto"/>
                <w:kern w:val="0"/>
                <w:sz w:val="24"/>
              </w:rPr>
              <w:t>0.33/2016</w:t>
            </w:r>
          </w:p>
        </w:tc>
        <w:tc>
          <w:tcPr>
            <w:tcW w:w="1361" w:type="dxa"/>
            <w:noWrap w:val="0"/>
            <w:vAlign w:val="center"/>
          </w:tcPr>
          <w:p>
            <w:pPr>
              <w:ind w:firstLine="0" w:firstLineChars="0"/>
              <w:jc w:val="center"/>
              <w:rPr>
                <w:rFonts w:hint="eastAsia" w:ascii="仿宋" w:hAnsi="仿宋"/>
                <w:color w:val="auto"/>
                <w:kern w:val="0"/>
                <w:sz w:val="24"/>
              </w:rPr>
            </w:pPr>
          </w:p>
        </w:tc>
        <w:tc>
          <w:tcPr>
            <w:tcW w:w="1487" w:type="dxa"/>
            <w:noWrap w:val="0"/>
            <w:vAlign w:val="center"/>
          </w:tcPr>
          <w:p>
            <w:pPr>
              <w:ind w:firstLine="0" w:firstLineChars="0"/>
              <w:jc w:val="center"/>
              <w:rPr>
                <w:rFonts w:hint="eastAsia" w:ascii="仿宋" w:hAnsi="仿宋"/>
                <w:color w:val="auto"/>
                <w:kern w:val="0"/>
                <w:sz w:val="24"/>
              </w:rPr>
            </w:pPr>
          </w:p>
        </w:tc>
        <w:tc>
          <w:tcPr>
            <w:tcW w:w="1361" w:type="dxa"/>
            <w:noWrap w:val="0"/>
            <w:vAlign w:val="top"/>
          </w:tcPr>
          <w:p>
            <w:pPr>
              <w:ind w:firstLine="0" w:firstLineChars="0"/>
              <w:jc w:val="center"/>
              <w:rPr>
                <w:rFonts w:hint="eastAsia" w:ascii="仿宋" w:hAnsi="仿宋"/>
                <w:color w:val="auto"/>
                <w:kern w:val="0"/>
                <w:sz w:val="24"/>
              </w:rPr>
            </w:pPr>
          </w:p>
        </w:tc>
        <w:tc>
          <w:tcPr>
            <w:tcW w:w="1579" w:type="dxa"/>
            <w:noWrap w:val="0"/>
            <w:vAlign w:val="top"/>
          </w:tcPr>
          <w:p>
            <w:pPr>
              <w:ind w:firstLine="0" w:firstLineChars="0"/>
              <w:jc w:val="center"/>
              <w:rPr>
                <w:rFonts w:hint="eastAsia" w:ascii="仿宋" w:hAnsi="仿宋"/>
                <w:color w:val="auto"/>
                <w:kern w:val="0"/>
                <w:sz w:val="24"/>
              </w:rPr>
            </w:pPr>
          </w:p>
        </w:tc>
      </w:tr>
    </w:tbl>
    <w:p>
      <w:pPr>
        <w:pStyle w:val="3"/>
        <w:keepNext w:val="0"/>
        <w:keepLines w:val="0"/>
        <w:spacing w:before="156" w:beforeLines="50" w:after="156" w:afterLines="50"/>
        <w:rPr>
          <w:rFonts w:hint="eastAsia" w:ascii="黑体" w:hAnsi="黑体" w:eastAsia="黑体" w:cs="宋体"/>
          <w:b w:val="0"/>
          <w:color w:val="auto"/>
        </w:rPr>
      </w:pPr>
      <w:bookmarkStart w:id="85" w:name="_Toc15249"/>
      <w:r>
        <w:rPr>
          <w:rFonts w:hint="eastAsia" w:ascii="黑体" w:hAnsi="黑体" w:eastAsia="黑体" w:cs="宋体"/>
          <w:b w:val="0"/>
          <w:color w:val="auto"/>
        </w:rPr>
        <w:t>第五节  空间布局</w:t>
      </w:r>
      <w:bookmarkEnd w:id="85"/>
    </w:p>
    <w:p>
      <w:pPr>
        <w:spacing w:line="610" w:lineRule="exact"/>
        <w:ind w:firstLine="640"/>
        <w:rPr>
          <w:rFonts w:hint="eastAsia" w:ascii="仿宋_GB2312" w:eastAsia="仿宋_GB2312"/>
          <w:color w:val="auto"/>
        </w:rPr>
      </w:pPr>
      <w:r>
        <w:rPr>
          <w:rFonts w:hint="eastAsia" w:ascii="方正黑体简体" w:eastAsia="方正黑体简体"/>
          <w:bCs/>
          <w:color w:val="auto"/>
        </w:rPr>
        <w:t>一、构建“两屏两带”秦巴绿色生态新格局。</w:t>
      </w:r>
      <w:r>
        <w:rPr>
          <w:rFonts w:hint="eastAsia" w:ascii="仿宋_GB2312" w:eastAsia="仿宋_GB2312"/>
          <w:color w:val="auto"/>
        </w:rPr>
        <w:t>按照主体功能定位、生态保护优先的要求，依托大秦岭、大巴山、汉丹江两岸生态资源优势，构建“两屏两带”绿色生态空间结构。</w:t>
      </w:r>
    </w:p>
    <w:p>
      <w:pPr>
        <w:spacing w:line="610" w:lineRule="exact"/>
        <w:ind w:firstLine="643"/>
        <w:rPr>
          <w:rFonts w:hint="eastAsia" w:ascii="仿宋_GB2312" w:eastAsia="仿宋_GB2312"/>
          <w:color w:val="auto"/>
        </w:rPr>
      </w:pPr>
      <w:r>
        <w:rPr>
          <w:rFonts w:hint="eastAsia" w:ascii="仿宋_GB2312" w:eastAsia="仿宋_GB2312"/>
          <w:b/>
          <w:bCs/>
          <w:color w:val="auto"/>
        </w:rPr>
        <w:t>两屏：</w:t>
      </w:r>
      <w:r>
        <w:rPr>
          <w:rFonts w:hint="eastAsia" w:ascii="仿宋_GB2312" w:eastAsia="仿宋_GB2312"/>
          <w:color w:val="auto"/>
        </w:rPr>
        <w:t>即</w:t>
      </w:r>
      <w:r>
        <w:rPr>
          <w:rFonts w:hint="eastAsia" w:ascii="仿宋_GB2312" w:eastAsia="仿宋_GB2312"/>
          <w:b/>
          <w:bCs/>
          <w:color w:val="auto"/>
        </w:rPr>
        <w:t>大秦岭生态屏障</w:t>
      </w:r>
      <w:r>
        <w:rPr>
          <w:rFonts w:hint="eastAsia" w:ascii="仿宋_GB2312" w:eastAsia="仿宋_GB2312"/>
          <w:color w:val="auto"/>
        </w:rPr>
        <w:t>和</w:t>
      </w:r>
      <w:r>
        <w:rPr>
          <w:rFonts w:hint="eastAsia" w:ascii="仿宋_GB2312" w:eastAsia="仿宋_GB2312"/>
          <w:b/>
          <w:bCs/>
          <w:color w:val="auto"/>
        </w:rPr>
        <w:t>大巴山生态屏障</w:t>
      </w:r>
      <w:r>
        <w:rPr>
          <w:rFonts w:hint="eastAsia" w:ascii="仿宋_GB2312" w:eastAsia="仿宋_GB2312"/>
          <w:color w:val="auto"/>
        </w:rPr>
        <w:t>。重点开展天然林资源保护、生态移民搬迁、退耕还林等生态保护修复工程，以及农村面源、尾矿库、重金属污染治理工程，维护森林生态系统和生物物种多样性，强化水源涵养。</w:t>
      </w:r>
    </w:p>
    <w:p>
      <w:pPr>
        <w:spacing w:line="610" w:lineRule="exact"/>
        <w:ind w:firstLine="643"/>
        <w:rPr>
          <w:rFonts w:hint="eastAsia" w:ascii="仿宋_GB2312" w:eastAsia="仿宋_GB2312"/>
          <w:b/>
          <w:bCs/>
          <w:color w:val="auto"/>
        </w:rPr>
      </w:pPr>
      <w:r>
        <w:rPr>
          <w:rFonts w:hint="eastAsia" w:ascii="仿宋_GB2312" w:eastAsia="仿宋_GB2312"/>
          <w:b/>
          <w:bCs/>
          <w:color w:val="auto"/>
        </w:rPr>
        <w:t>两带：</w:t>
      </w:r>
      <w:r>
        <w:rPr>
          <w:rFonts w:hint="eastAsia" w:ascii="仿宋_GB2312" w:eastAsia="仿宋_GB2312"/>
          <w:color w:val="auto"/>
        </w:rPr>
        <w:t>即</w:t>
      </w:r>
      <w:r>
        <w:rPr>
          <w:rFonts w:hint="eastAsia" w:ascii="仿宋_GB2312" w:eastAsia="仿宋_GB2312"/>
          <w:b/>
          <w:bCs/>
          <w:color w:val="auto"/>
        </w:rPr>
        <w:t>汉江两岸生态安全带</w:t>
      </w:r>
      <w:r>
        <w:rPr>
          <w:rFonts w:hint="eastAsia" w:ascii="仿宋_GB2312" w:eastAsia="仿宋_GB2312"/>
          <w:color w:val="auto"/>
        </w:rPr>
        <w:t>和</w:t>
      </w:r>
      <w:r>
        <w:rPr>
          <w:rFonts w:hint="eastAsia" w:ascii="仿宋_GB2312" w:eastAsia="仿宋_GB2312"/>
          <w:b/>
          <w:bCs/>
          <w:color w:val="auto"/>
        </w:rPr>
        <w:t>丹江两岸生态安全带</w:t>
      </w:r>
      <w:r>
        <w:rPr>
          <w:rFonts w:hint="eastAsia" w:ascii="仿宋_GB2312" w:eastAsia="仿宋_GB2312"/>
          <w:color w:val="auto"/>
        </w:rPr>
        <w:t>。重点开展汉、丹江流域综合整治和水土流失治理、城镇污水垃圾设施建设、沿江绿化，继续开展农村环境综合整治，打造南水北调中线水源区绿色生态走廊。</w:t>
      </w:r>
    </w:p>
    <w:p>
      <w:pPr>
        <w:ind w:firstLine="0" w:firstLineChars="0"/>
        <w:jc w:val="center"/>
        <w:rPr>
          <w:rFonts w:hint="eastAsia" w:ascii="宋体" w:hAnsi="宋体" w:eastAsia="宋体" w:cs="宋体"/>
          <w:b/>
          <w:bCs/>
          <w:color w:val="auto"/>
          <w:szCs w:val="32"/>
        </w:rPr>
      </w:pPr>
      <w:r>
        <w:rPr>
          <w:color w:val="auto"/>
        </w:rPr>
        <mc:AlternateContent>
          <mc:Choice Requires="wps">
            <w:drawing>
              <wp:anchor distT="0" distB="0" distL="114300" distR="114300" simplePos="0" relativeHeight="251667456" behindDoc="0" locked="0" layoutInCell="1" allowOverlap="1">
                <wp:simplePos x="0" y="0"/>
                <wp:positionH relativeFrom="column">
                  <wp:posOffset>2178050</wp:posOffset>
                </wp:positionH>
                <wp:positionV relativeFrom="paragraph">
                  <wp:posOffset>216535</wp:posOffset>
                </wp:positionV>
                <wp:extent cx="1638300" cy="262890"/>
                <wp:effectExtent l="6350" t="6350" r="508000" b="397510"/>
                <wp:wrapNone/>
                <wp:docPr id="9" name="自选图形 10"/>
                <wp:cNvGraphicFramePr/>
                <a:graphic xmlns:a="http://schemas.openxmlformats.org/drawingml/2006/main">
                  <a:graphicData uri="http://schemas.microsoft.com/office/word/2010/wordprocessingShape">
                    <wps:wsp>
                      <wps:cNvSpPr/>
                      <wps:spPr>
                        <a:xfrm>
                          <a:off x="0" y="0"/>
                          <a:ext cx="1638300" cy="262890"/>
                        </a:xfrm>
                        <a:prstGeom prst="wedgeRectCallout">
                          <a:avLst>
                            <a:gd name="adj1" fmla="val 77560"/>
                            <a:gd name="adj2" fmla="val 188407"/>
                          </a:avLst>
                        </a:prstGeom>
                        <a:noFill/>
                        <a:ln w="12700" cap="flat" cmpd="sng">
                          <a:solidFill>
                            <a:srgbClr val="2FC9FF"/>
                          </a:solidFill>
                          <a:prstDash val="solid"/>
                          <a:miter/>
                          <a:headEnd type="none" w="med" len="med"/>
                          <a:tailEnd type="none" w="med" len="med"/>
                        </a:ln>
                      </wps:spPr>
                      <wps:txbx>
                        <w:txbxContent>
                          <w:p>
                            <w:pPr>
                              <w:spacing w:line="240" w:lineRule="auto"/>
                              <w:ind w:firstLine="0" w:firstLineChars="0"/>
                              <w:jc w:val="center"/>
                            </w:pPr>
                            <w:r>
                              <w:rPr>
                                <w:rFonts w:hint="eastAsia" w:ascii="宋体" w:hAnsi="宋体" w:eastAsia="宋体"/>
                                <w:b/>
                                <w:sz w:val="24"/>
                              </w:rPr>
                              <w:t>丹江两岸生态安全带</w:t>
                            </w:r>
                          </w:p>
                        </w:txbxContent>
                      </wps:txbx>
                      <wps:bodyPr wrap="square" upright="1"/>
                    </wps:wsp>
                  </a:graphicData>
                </a:graphic>
              </wp:anchor>
            </w:drawing>
          </mc:Choice>
          <mc:Fallback>
            <w:pict>
              <v:shape id="自选图形 10" o:spid="_x0000_s1026" o:spt="61" type="#_x0000_t61" style="position:absolute;left:0pt;margin-left:171.5pt;margin-top:17.05pt;height:20.7pt;width:129pt;z-index:251667456;mso-width-relative:page;mso-height-relative:page;" filled="f" stroked="t" coordsize="21600,21600" o:gfxdata="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&#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UseQdcAAAAJAQAADwAAAAAAAAABACAAAAAiAAAA&#10;ZHJzL2Rvd25yZXYueG1sUEsBAhQAFAAAAAgAh07iQP9OEDRBAgAAdAQAAA4AAAAAAAAAAQAgAAAA&#10;JgEAAGRycy9lMm9Eb2MueG1sUEsFBgAAAAAGAAYAWQEAANkFAAAAAA==&#10;" adj="27553,51496">
                <v:fill on="f" focussize="0,0"/>
                <v:stroke weight="1pt" color="#2FC9FF" joinstyle="miter"/>
                <v:imagedata o:title=""/>
                <o:lock v:ext="edit" aspectratio="f"/>
                <v:textbox>
                  <w:txbxContent>
                    <w:p>
                      <w:pPr>
                        <w:spacing w:line="240" w:lineRule="auto"/>
                        <w:ind w:firstLine="0" w:firstLineChars="0"/>
                        <w:jc w:val="center"/>
                      </w:pPr>
                      <w:r>
                        <w:rPr>
                          <w:rFonts w:hint="eastAsia" w:ascii="宋体" w:hAnsi="宋体" w:eastAsia="宋体"/>
                          <w:b/>
                          <w:sz w:val="24"/>
                        </w:rPr>
                        <w:t>丹江两岸生态安全带</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271145</wp:posOffset>
                </wp:positionH>
                <wp:positionV relativeFrom="paragraph">
                  <wp:posOffset>431800</wp:posOffset>
                </wp:positionV>
                <wp:extent cx="1303655" cy="262890"/>
                <wp:effectExtent l="6350" t="6350" r="271145" b="607060"/>
                <wp:wrapNone/>
                <wp:docPr id="6" name="自选图形 7"/>
                <wp:cNvGraphicFramePr/>
                <a:graphic xmlns:a="http://schemas.openxmlformats.org/drawingml/2006/main">
                  <a:graphicData uri="http://schemas.microsoft.com/office/word/2010/wordprocessingShape">
                    <wps:wsp>
                      <wps:cNvSpPr/>
                      <wps:spPr>
                        <a:xfrm>
                          <a:off x="0" y="0"/>
                          <a:ext cx="1303655" cy="262890"/>
                        </a:xfrm>
                        <a:prstGeom prst="wedgeRectCallout">
                          <a:avLst>
                            <a:gd name="adj1" fmla="val 68023"/>
                            <a:gd name="adj2" fmla="val 267148"/>
                          </a:avLst>
                        </a:prstGeom>
                        <a:noFill/>
                        <a:ln w="12700" cap="flat" cmpd="sng">
                          <a:solidFill>
                            <a:srgbClr val="2FC9FF"/>
                          </a:solidFill>
                          <a:prstDash val="solid"/>
                          <a:miter/>
                          <a:headEnd type="none" w="med" len="med"/>
                          <a:tailEnd type="none" w="med" len="med"/>
                        </a:ln>
                      </wps:spPr>
                      <wps:txbx>
                        <w:txbxContent>
                          <w:p>
                            <w:pPr>
                              <w:spacing w:line="240" w:lineRule="exact"/>
                              <w:ind w:firstLine="0" w:firstLineChars="0"/>
                            </w:pPr>
                            <w:r>
                              <w:rPr>
                                <w:rFonts w:hint="eastAsia" w:ascii="宋体" w:hAnsi="宋体" w:eastAsia="宋体"/>
                                <w:b/>
                                <w:sz w:val="24"/>
                              </w:rPr>
                              <w:t>大秦岭生态屏障</w:t>
                            </w:r>
                          </w:p>
                        </w:txbxContent>
                      </wps:txbx>
                      <wps:bodyPr wrap="square" upright="1"/>
                    </wps:wsp>
                  </a:graphicData>
                </a:graphic>
              </wp:anchor>
            </w:drawing>
          </mc:Choice>
          <mc:Fallback>
            <w:pict>
              <v:shape id="自选图形 7" o:spid="_x0000_s1026" o:spt="61" type="#_x0000_t61" style="position:absolute;left:0pt;margin-left:21.35pt;margin-top:34pt;height:20.7pt;width:102.65pt;z-index:251664384;mso-width-relative:page;mso-height-relative:page;" filled="f" stroked="t" coordsize="21600,21600" o:gfxdata="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5vtojXAAAACQEAAA8AAAAAAAAAAQAgAAAAIgAA&#10;AGRycy9kb3ducmV2LnhtbFBLAQIUABQAAAAIAIdO4kAQ9r4HQgIAAHMEAAAOAAAAAAAAAAEAIAAA&#10;ACYBAABkcnMvZTJvRG9jLnhtbFBLBQYAAAAABgAGAFkBAADaBQAAAAA=&#10;" adj="25493,68504">
                <v:fill on="f" focussize="0,0"/>
                <v:stroke weight="1pt" color="#2FC9FF" joinstyle="miter"/>
                <v:imagedata o:title=""/>
                <o:lock v:ext="edit" aspectratio="f"/>
                <v:textbox>
                  <w:txbxContent>
                    <w:p>
                      <w:pPr>
                        <w:spacing w:line="240" w:lineRule="exact"/>
                        <w:ind w:firstLine="0" w:firstLineChars="0"/>
                      </w:pPr>
                      <w:r>
                        <w:rPr>
                          <w:rFonts w:hint="eastAsia" w:ascii="宋体" w:hAnsi="宋体" w:eastAsia="宋体"/>
                          <w:b/>
                          <w:sz w:val="24"/>
                        </w:rPr>
                        <w:t>大秦岭生态屏障</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1652905</wp:posOffset>
                </wp:positionH>
                <wp:positionV relativeFrom="paragraph">
                  <wp:posOffset>2999105</wp:posOffset>
                </wp:positionV>
                <wp:extent cx="1638300" cy="262890"/>
                <wp:effectExtent l="6350" t="700405" r="12700" b="8255"/>
                <wp:wrapNone/>
                <wp:docPr id="8" name="自选图形 9"/>
                <wp:cNvGraphicFramePr/>
                <a:graphic xmlns:a="http://schemas.openxmlformats.org/drawingml/2006/main">
                  <a:graphicData uri="http://schemas.microsoft.com/office/word/2010/wordprocessingShape">
                    <wps:wsp>
                      <wps:cNvSpPr/>
                      <wps:spPr>
                        <a:xfrm>
                          <a:off x="0" y="0"/>
                          <a:ext cx="1638300" cy="262890"/>
                        </a:xfrm>
                        <a:prstGeom prst="wedgeRectCallout">
                          <a:avLst>
                            <a:gd name="adj1" fmla="val 32944"/>
                            <a:gd name="adj2" fmla="val -307731"/>
                          </a:avLst>
                        </a:prstGeom>
                        <a:noFill/>
                        <a:ln w="12700" cap="flat" cmpd="sng">
                          <a:solidFill>
                            <a:srgbClr val="2FC9FF"/>
                          </a:solidFill>
                          <a:prstDash val="solid"/>
                          <a:miter/>
                          <a:headEnd type="none" w="med" len="med"/>
                          <a:tailEnd type="none" w="med" len="med"/>
                        </a:ln>
                      </wps:spPr>
                      <wps:txbx>
                        <w:txbxContent>
                          <w:p>
                            <w:pPr>
                              <w:spacing w:line="240" w:lineRule="auto"/>
                              <w:ind w:firstLine="0" w:firstLineChars="0"/>
                              <w:jc w:val="center"/>
                            </w:pPr>
                            <w:r>
                              <w:rPr>
                                <w:rFonts w:hint="eastAsia" w:ascii="宋体" w:hAnsi="宋体" w:eastAsia="宋体"/>
                                <w:b/>
                                <w:sz w:val="24"/>
                              </w:rPr>
                              <w:t>汉江两岸生态安全带</w:t>
                            </w:r>
                          </w:p>
                        </w:txbxContent>
                      </wps:txbx>
                      <wps:bodyPr wrap="square" upright="1"/>
                    </wps:wsp>
                  </a:graphicData>
                </a:graphic>
              </wp:anchor>
            </w:drawing>
          </mc:Choice>
          <mc:Fallback>
            <w:pict>
              <v:shape id="自选图形 9" o:spid="_x0000_s1026" o:spt="61" type="#_x0000_t61" style="position:absolute;left:0pt;margin-left:130.15pt;margin-top:236.15pt;height:20.7pt;width:129pt;z-index:251666432;mso-width-relative:page;mso-height-relative:page;" filled="f" stroked="t" coordsize="21600,21600" o:gfxdata="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&#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xZTB01wAAAAsBAAAPAAAAAAAAAAEAIAAAACIAAABk&#10;cnMvZG93bnJldi54bWxQSwECFAAUAAAACACHTuJA8wxpskACAAB0BAAADgAAAAAAAAABACAAAAAm&#10;AQAAZHJzL2Uyb0RvYy54bWxQSwUGAAAAAAYABgBZAQAA2AUAAAAA&#10;" adj="17916,-55670">
                <v:fill on="f" focussize="0,0"/>
                <v:stroke weight="1pt" color="#2FC9FF" joinstyle="miter"/>
                <v:imagedata o:title=""/>
                <o:lock v:ext="edit" aspectratio="f"/>
                <v:textbox>
                  <w:txbxContent>
                    <w:p>
                      <w:pPr>
                        <w:spacing w:line="240" w:lineRule="auto"/>
                        <w:ind w:firstLine="0" w:firstLineChars="0"/>
                        <w:jc w:val="center"/>
                      </w:pPr>
                      <w:r>
                        <w:rPr>
                          <w:rFonts w:hint="eastAsia" w:ascii="宋体" w:hAnsi="宋体" w:eastAsia="宋体"/>
                          <w:b/>
                          <w:sz w:val="24"/>
                        </w:rPr>
                        <w:t>汉江两岸生态安全带</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271145</wp:posOffset>
                </wp:positionH>
                <wp:positionV relativeFrom="paragraph">
                  <wp:posOffset>2633345</wp:posOffset>
                </wp:positionV>
                <wp:extent cx="1303655" cy="262890"/>
                <wp:effectExtent l="6350" t="388620" r="42545" b="15240"/>
                <wp:wrapNone/>
                <wp:docPr id="7" name="自选图形 8"/>
                <wp:cNvGraphicFramePr/>
                <a:graphic xmlns:a="http://schemas.openxmlformats.org/drawingml/2006/main">
                  <a:graphicData uri="http://schemas.microsoft.com/office/word/2010/wordprocessingShape">
                    <wps:wsp>
                      <wps:cNvSpPr/>
                      <wps:spPr>
                        <a:xfrm>
                          <a:off x="0" y="0"/>
                          <a:ext cx="1303655" cy="262890"/>
                        </a:xfrm>
                        <a:prstGeom prst="wedgeRectCallout">
                          <a:avLst>
                            <a:gd name="adj1" fmla="val 50972"/>
                            <a:gd name="adj2" fmla="val -189616"/>
                          </a:avLst>
                        </a:prstGeom>
                        <a:noFill/>
                        <a:ln w="12700" cap="flat" cmpd="sng">
                          <a:solidFill>
                            <a:srgbClr val="2FC9FF"/>
                          </a:solidFill>
                          <a:prstDash val="solid"/>
                          <a:miter/>
                          <a:headEnd type="none" w="med" len="med"/>
                          <a:tailEnd type="none" w="med" len="med"/>
                        </a:ln>
                      </wps:spPr>
                      <wps:txbx>
                        <w:txbxContent>
                          <w:p>
                            <w:pPr>
                              <w:spacing w:line="240" w:lineRule="auto"/>
                              <w:ind w:firstLine="0" w:firstLineChars="0"/>
                            </w:pPr>
                            <w:r>
                              <w:rPr>
                                <w:rFonts w:hint="eastAsia" w:ascii="宋体" w:hAnsi="宋体" w:eastAsia="宋体"/>
                                <w:b/>
                                <w:sz w:val="24"/>
                              </w:rPr>
                              <w:t>大巴山生态屏障</w:t>
                            </w:r>
                          </w:p>
                        </w:txbxContent>
                      </wps:txbx>
                      <wps:bodyPr wrap="square" upright="1"/>
                    </wps:wsp>
                  </a:graphicData>
                </a:graphic>
              </wp:anchor>
            </w:drawing>
          </mc:Choice>
          <mc:Fallback>
            <w:pict>
              <v:shape id="自选图形 8" o:spid="_x0000_s1026" o:spt="61" type="#_x0000_t61" style="position:absolute;left:0pt;margin-left:21.35pt;margin-top:207.35pt;height:20.7pt;width:102.65pt;z-index:251665408;mso-width-relative:page;mso-height-relative:page;" filled="f" stroked="t" coordsize="21600,21600" o:gfxdata="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0WGaNYAAAAKAQAADwAAAAAAAAABACAAAAAiAAAA&#10;ZHJzL2Rvd25yZXYueG1sUEsBAhQAFAAAAAgAh07iQKoESWRCAgAAdAQAAA4AAAAAAAAAAQAgAAAA&#10;JQEAAGRycy9lMm9Eb2MueG1sUEsFBgAAAAAGAAYAWQEAANkFAAAAAA==&#10;" adj="21810,-30157">
                <v:fill on="f" focussize="0,0"/>
                <v:stroke weight="1pt" color="#2FC9FF" joinstyle="miter"/>
                <v:imagedata o:title=""/>
                <o:lock v:ext="edit" aspectratio="f"/>
                <v:textbox>
                  <w:txbxContent>
                    <w:p>
                      <w:pPr>
                        <w:spacing w:line="240" w:lineRule="auto"/>
                        <w:ind w:firstLine="0" w:firstLineChars="0"/>
                      </w:pPr>
                      <w:r>
                        <w:rPr>
                          <w:rFonts w:hint="eastAsia" w:ascii="宋体" w:hAnsi="宋体" w:eastAsia="宋体"/>
                          <w:b/>
                          <w:sz w:val="24"/>
                        </w:rPr>
                        <w:t>大巴山生态屏障</w:t>
                      </w:r>
                    </w:p>
                  </w:txbxContent>
                </v:textbox>
              </v:shape>
            </w:pict>
          </mc:Fallback>
        </mc:AlternateContent>
      </w:r>
      <w:r>
        <w:rPr>
          <w:color w:val="auto"/>
        </w:rPr>
        <w:drawing>
          <wp:inline distT="0" distB="0" distL="114300" distR="114300">
            <wp:extent cx="5184140" cy="3301365"/>
            <wp:effectExtent l="9525" t="9525" r="26035" b="22860"/>
            <wp:docPr id="10" name="图片 4" descr="陕南生态新格局-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陕南生态新格局-终1"/>
                    <pic:cNvPicPr>
                      <a:picLocks noChangeAspect="1"/>
                    </pic:cNvPicPr>
                  </pic:nvPicPr>
                  <pic:blipFill>
                    <a:blip r:embed="rId20"/>
                    <a:srcRect l="7712" t="14687" r="7712" b="10901"/>
                    <a:stretch>
                      <a:fillRect/>
                    </a:stretch>
                  </pic:blipFill>
                  <pic:spPr>
                    <a:xfrm>
                      <a:off x="0" y="0"/>
                      <a:ext cx="5184140" cy="3301365"/>
                    </a:xfrm>
                    <a:prstGeom prst="rect">
                      <a:avLst/>
                    </a:prstGeom>
                    <a:noFill/>
                    <a:ln w="9525" cap="flat" cmpd="sng">
                      <a:solidFill>
                        <a:srgbClr val="E46C0A"/>
                      </a:solidFill>
                      <a:prstDash val="solid"/>
                      <a:miter/>
                      <a:headEnd type="none" w="med" len="med"/>
                      <a:tailEnd type="none" w="med" len="med"/>
                    </a:ln>
                  </pic:spPr>
                </pic:pic>
              </a:graphicData>
            </a:graphic>
          </wp:inline>
        </w:drawing>
      </w:r>
    </w:p>
    <w:p>
      <w:pPr>
        <w:ind w:firstLine="0" w:firstLineChars="0"/>
        <w:jc w:val="center"/>
        <w:rPr>
          <w:rFonts w:hint="eastAsia" w:ascii="宋体" w:hAnsi="宋体" w:eastAsia="宋体" w:cs="宋体"/>
          <w:b/>
          <w:bCs/>
          <w:color w:val="auto"/>
          <w:szCs w:val="32"/>
        </w:rPr>
      </w:pPr>
      <w:r>
        <w:rPr>
          <w:rFonts w:hint="eastAsia" w:ascii="宋体" w:hAnsi="宋体" w:eastAsia="宋体" w:cs="宋体"/>
          <w:b/>
          <w:bCs/>
          <w:color w:val="auto"/>
          <w:szCs w:val="32"/>
        </w:rPr>
        <w:t>图1  秦巴绿色生态新格局</w:t>
      </w:r>
    </w:p>
    <w:p>
      <w:pPr>
        <w:spacing w:before="156" w:beforeLines="50" w:line="520" w:lineRule="exact"/>
        <w:ind w:firstLine="640"/>
        <w:rPr>
          <w:rFonts w:hint="eastAsia" w:ascii="仿宋_GB2312" w:hAnsi="仿宋" w:eastAsia="仿宋_GB2312"/>
          <w:bCs/>
          <w:color w:val="auto"/>
          <w:kern w:val="0"/>
          <w:szCs w:val="32"/>
        </w:rPr>
      </w:pPr>
      <w:r>
        <w:rPr>
          <w:rFonts w:hint="eastAsia" w:ascii="方正黑体简体" w:eastAsia="方正黑体简体"/>
          <w:bCs/>
          <w:color w:val="auto"/>
        </w:rPr>
        <w:t>二、构建“三区九基地”循环产业体系新格局。</w:t>
      </w:r>
      <w:r>
        <w:rPr>
          <w:rFonts w:hint="eastAsia" w:ascii="仿宋_GB2312" w:hAnsi="仿宋" w:eastAsia="仿宋_GB2312"/>
          <w:bCs/>
          <w:color w:val="auto"/>
          <w:kern w:val="0"/>
          <w:szCs w:val="32"/>
        </w:rPr>
        <w:t>按照布局合理、产业聚集、分工协作的要求，依托资源优势和城市分布，构建“三区九基地”的产业发展空间结构。</w:t>
      </w:r>
    </w:p>
    <w:p>
      <w:pPr>
        <w:spacing w:line="580" w:lineRule="exact"/>
        <w:ind w:firstLine="643"/>
        <w:rPr>
          <w:rFonts w:hint="eastAsia" w:ascii="仿宋_GB2312" w:hAnsi="仿宋" w:eastAsia="仿宋_GB2312"/>
          <w:color w:val="auto"/>
          <w:szCs w:val="32"/>
        </w:rPr>
      </w:pPr>
      <w:r>
        <w:rPr>
          <w:rFonts w:hint="eastAsia" w:ascii="仿宋_GB2312" w:hAnsi="仿宋" w:eastAsia="仿宋_GB2312"/>
          <w:b/>
          <w:color w:val="auto"/>
          <w:kern w:val="0"/>
          <w:szCs w:val="32"/>
        </w:rPr>
        <w:t>三区：</w:t>
      </w:r>
      <w:r>
        <w:rPr>
          <w:rFonts w:hint="eastAsia" w:ascii="仿宋_GB2312" w:hAnsi="仿宋" w:eastAsia="仿宋_GB2312"/>
          <w:bCs/>
          <w:color w:val="auto"/>
          <w:kern w:val="0"/>
          <w:szCs w:val="32"/>
        </w:rPr>
        <w:t>一是</w:t>
      </w:r>
      <w:r>
        <w:rPr>
          <w:rFonts w:hint="eastAsia" w:ascii="仿宋_GB2312" w:hAnsi="仿宋" w:eastAsia="仿宋_GB2312"/>
          <w:b/>
          <w:color w:val="auto"/>
          <w:kern w:val="0"/>
          <w:szCs w:val="32"/>
        </w:rPr>
        <w:t>汉中循环经济聚集区，</w:t>
      </w:r>
      <w:r>
        <w:rPr>
          <w:rFonts w:hint="eastAsia" w:ascii="仿宋_GB2312" w:hAnsi="仿宋" w:eastAsia="仿宋_GB2312"/>
          <w:color w:val="auto"/>
          <w:szCs w:val="32"/>
        </w:rPr>
        <w:t>以汉台区为核心，融合城固、南郑部分区域，重点发展科技、商贸、文化、金融、物流、咨询、公共服务等现代服务业；以汉中经济开发区、汉中航空智慧新城和汉江产业园区为核心，发展高端装备制造及高新技术产业。二是</w:t>
      </w:r>
      <w:r>
        <w:rPr>
          <w:rFonts w:hint="eastAsia" w:ascii="仿宋_GB2312" w:hAnsi="仿宋" w:eastAsia="仿宋_GB2312"/>
          <w:b/>
          <w:bCs/>
          <w:color w:val="auto"/>
          <w:szCs w:val="32"/>
        </w:rPr>
        <w:t>安康循环经济聚集区，</w:t>
      </w:r>
      <w:r>
        <w:rPr>
          <w:rFonts w:hint="eastAsia" w:ascii="仿宋_GB2312" w:hAnsi="仿宋" w:eastAsia="仿宋_GB2312"/>
          <w:color w:val="auto"/>
          <w:szCs w:val="32"/>
        </w:rPr>
        <w:t>以高新区为核心，月河川道为纽带，以循环园区为载体，重点发展富硒食品、新型材料、清洁能源、装备制造、生物制药、丝绸纺织等产业。三是</w:t>
      </w:r>
      <w:r>
        <w:rPr>
          <w:rFonts w:hint="eastAsia" w:ascii="仿宋_GB2312" w:hAnsi="仿宋" w:eastAsia="仿宋_GB2312"/>
          <w:b/>
          <w:bCs/>
          <w:color w:val="auto"/>
          <w:szCs w:val="32"/>
        </w:rPr>
        <w:t>商</w:t>
      </w:r>
      <w:r>
        <w:rPr>
          <w:rFonts w:hint="eastAsia" w:ascii="仿宋_GB2312" w:hAnsi="仿宋" w:eastAsia="仿宋_GB2312"/>
          <w:b/>
          <w:bCs/>
          <w:color w:val="auto"/>
          <w:szCs w:val="32"/>
          <w:lang w:eastAsia="zh-CN"/>
        </w:rPr>
        <w:t>洛</w:t>
      </w:r>
      <w:r>
        <w:rPr>
          <w:rFonts w:hint="eastAsia" w:ascii="仿宋_GB2312" w:hAnsi="仿宋" w:eastAsia="仿宋_GB2312"/>
          <w:b/>
          <w:bCs/>
          <w:color w:val="auto"/>
          <w:szCs w:val="32"/>
        </w:rPr>
        <w:t>循环经济聚集区，</w:t>
      </w:r>
      <w:r>
        <w:rPr>
          <w:rFonts w:hint="eastAsia" w:ascii="仿宋_GB2312" w:hAnsi="仿宋" w:eastAsia="仿宋_GB2312"/>
          <w:color w:val="auto"/>
          <w:szCs w:val="32"/>
        </w:rPr>
        <w:t>以商州、丹凤为中心，重点发展新能源、电子信息、智能制造、新材料、汽车配件制造、现代中药等产业。</w:t>
      </w:r>
    </w:p>
    <w:p>
      <w:pPr>
        <w:spacing w:after="62" w:afterLines="20"/>
        <w:ind w:firstLine="0" w:firstLineChars="0"/>
        <w:jc w:val="center"/>
        <w:rPr>
          <w:rFonts w:hint="eastAsia"/>
          <w:b/>
          <w:bCs/>
          <w:color w:val="auto"/>
        </w:rPr>
      </w:pPr>
      <w:r>
        <w:rPr>
          <w:rFonts w:hint="eastAsia"/>
          <w:b/>
          <w:bCs/>
          <w:color w:val="auto"/>
        </w:rPr>
        <w:t>表4  九大基地</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0"/>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trPr>
        <w:tc>
          <w:tcPr>
            <w:tcW w:w="2710" w:type="dxa"/>
            <w:noWrap w:val="0"/>
            <w:vAlign w:val="center"/>
          </w:tcPr>
          <w:p>
            <w:pPr>
              <w:spacing w:line="276" w:lineRule="exact"/>
              <w:ind w:firstLine="0" w:firstLineChars="0"/>
              <w:jc w:val="center"/>
              <w:rPr>
                <w:rFonts w:hint="eastAsia" w:ascii="黑体" w:hAnsi="黑体" w:eastAsia="黑体" w:cs="黑体"/>
                <w:b/>
                <w:bCs/>
                <w:color w:val="auto"/>
                <w:sz w:val="24"/>
              </w:rPr>
            </w:pPr>
            <w:r>
              <w:rPr>
                <w:rFonts w:hint="eastAsia" w:ascii="黑体" w:hAnsi="黑体" w:eastAsia="黑体" w:cs="黑体"/>
                <w:b/>
                <w:bCs/>
                <w:color w:val="auto"/>
                <w:sz w:val="24"/>
              </w:rPr>
              <w:t>基地</w:t>
            </w:r>
          </w:p>
        </w:tc>
        <w:tc>
          <w:tcPr>
            <w:tcW w:w="6217" w:type="dxa"/>
            <w:noWrap w:val="0"/>
            <w:vAlign w:val="center"/>
          </w:tcPr>
          <w:p>
            <w:pPr>
              <w:spacing w:line="276" w:lineRule="exact"/>
              <w:ind w:firstLine="0" w:firstLineChars="0"/>
              <w:jc w:val="center"/>
              <w:rPr>
                <w:rFonts w:hint="eastAsia" w:ascii="黑体" w:hAnsi="黑体" w:eastAsia="黑体" w:cs="黑体"/>
                <w:b/>
                <w:bCs/>
                <w:color w:val="auto"/>
                <w:sz w:val="24"/>
              </w:rPr>
            </w:pPr>
            <w:r>
              <w:rPr>
                <w:rFonts w:hint="eastAsia" w:ascii="黑体" w:hAnsi="黑体" w:eastAsia="黑体" w:cs="黑体"/>
                <w:b/>
                <w:bCs/>
                <w:color w:val="auto"/>
                <w:sz w:val="24"/>
              </w:rPr>
              <w:t>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2710" w:type="dxa"/>
            <w:noWrap w:val="0"/>
            <w:vAlign w:val="center"/>
          </w:tcPr>
          <w:p>
            <w:pPr>
              <w:spacing w:line="276" w:lineRule="exact"/>
              <w:ind w:firstLine="0" w:firstLineChars="0"/>
              <w:jc w:val="center"/>
              <w:rPr>
                <w:rFonts w:hint="eastAsia" w:ascii="仿宋" w:hAnsi="仿宋"/>
                <w:b/>
                <w:bCs/>
                <w:color w:val="auto"/>
                <w:kern w:val="0"/>
                <w:sz w:val="24"/>
              </w:rPr>
            </w:pPr>
            <w:r>
              <w:rPr>
                <w:rFonts w:hint="eastAsia" w:ascii="仿宋" w:hAnsi="仿宋"/>
                <w:b/>
                <w:bCs/>
                <w:color w:val="auto"/>
                <w:kern w:val="0"/>
                <w:sz w:val="24"/>
              </w:rPr>
              <w:t>汉（台）-城（固）-南（郑）-开（发区）高端装备制造业基地</w:t>
            </w:r>
          </w:p>
        </w:tc>
        <w:tc>
          <w:tcPr>
            <w:tcW w:w="6217" w:type="dxa"/>
            <w:noWrap w:val="0"/>
            <w:vAlign w:val="center"/>
          </w:tcPr>
          <w:p>
            <w:pPr>
              <w:spacing w:line="320" w:lineRule="exact"/>
              <w:ind w:firstLine="480"/>
              <w:rPr>
                <w:rFonts w:hint="eastAsia" w:ascii="仿宋" w:hAnsi="仿宋"/>
                <w:bCs/>
                <w:color w:val="auto"/>
                <w:kern w:val="0"/>
                <w:sz w:val="24"/>
              </w:rPr>
            </w:pPr>
            <w:r>
              <w:rPr>
                <w:rFonts w:hint="eastAsia" w:ascii="仿宋" w:hAnsi="仿宋"/>
                <w:bCs/>
                <w:color w:val="auto"/>
                <w:kern w:val="0"/>
                <w:sz w:val="24"/>
              </w:rPr>
              <w:t>依托汉台、城固、南郑等主要工业园区，以制造业的智能化、数字化、网络化为发展方向，重点发展飞机零部件和涡浆飞机研发、航空标准件、滚动功能部件、航空机电等航空装备制造，加工中心、数控镗铣床、复杂刀具等高端数控机床装备制造，电子仪器、传感器、车载电子系统等信息装备制造，智能电网制造,把高端装备制造业打造成为龙头主导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10" w:type="dxa"/>
            <w:noWrap w:val="0"/>
            <w:vAlign w:val="center"/>
          </w:tcPr>
          <w:p>
            <w:pPr>
              <w:spacing w:line="276" w:lineRule="exact"/>
              <w:ind w:firstLine="0" w:firstLineChars="0"/>
              <w:jc w:val="center"/>
              <w:rPr>
                <w:rFonts w:hint="eastAsia" w:ascii="仿宋" w:hAnsi="仿宋"/>
                <w:b/>
                <w:bCs/>
                <w:color w:val="auto"/>
                <w:sz w:val="24"/>
              </w:rPr>
            </w:pPr>
            <w:r>
              <w:rPr>
                <w:rFonts w:hint="eastAsia" w:ascii="仿宋" w:hAnsi="仿宋"/>
                <w:b/>
                <w:bCs/>
                <w:color w:val="auto"/>
                <w:kern w:val="0"/>
                <w:sz w:val="24"/>
              </w:rPr>
              <w:t>勉（县）-略（阳）-宁（强）-洋（县）现代材料基地</w:t>
            </w:r>
          </w:p>
        </w:tc>
        <w:tc>
          <w:tcPr>
            <w:tcW w:w="6217" w:type="dxa"/>
            <w:noWrap w:val="0"/>
            <w:vAlign w:val="center"/>
          </w:tcPr>
          <w:p>
            <w:pPr>
              <w:spacing w:line="320" w:lineRule="exact"/>
              <w:ind w:firstLine="480"/>
              <w:rPr>
                <w:rFonts w:hint="eastAsia" w:ascii="仿宋" w:hAnsi="仿宋"/>
                <w:b/>
                <w:bCs/>
                <w:color w:val="auto"/>
                <w:sz w:val="24"/>
              </w:rPr>
            </w:pPr>
            <w:r>
              <w:rPr>
                <w:rFonts w:hint="eastAsia" w:ascii="仿宋" w:hAnsi="仿宋"/>
                <w:bCs/>
                <w:color w:val="auto"/>
                <w:kern w:val="0"/>
                <w:sz w:val="24"/>
              </w:rPr>
              <w:t>利用勉县、略阳、宁强、洋县四县优势金属矿产资源，重点发展高性能专用钢和锌、铜、镍、</w:t>
            </w:r>
            <w:r>
              <w:rPr>
                <w:rFonts w:ascii="Arial" w:hAnsi="Arial" w:cs="Arial"/>
                <w:color w:val="auto"/>
                <w:sz w:val="24"/>
                <w:shd w:val="clear" w:color="auto" w:fill="FFFFFF"/>
              </w:rPr>
              <w:t>钒</w:t>
            </w:r>
            <w:r>
              <w:rPr>
                <w:rFonts w:hint="eastAsia" w:ascii="Arial" w:hAnsi="Arial" w:cs="Arial"/>
                <w:color w:val="auto"/>
                <w:sz w:val="24"/>
                <w:shd w:val="clear" w:color="auto" w:fill="FFFFFF"/>
              </w:rPr>
              <w:t>、</w:t>
            </w:r>
            <w:r>
              <w:rPr>
                <w:rFonts w:ascii="Arial" w:hAnsi="Arial" w:cs="Arial"/>
                <w:color w:val="auto"/>
                <w:sz w:val="24"/>
                <w:shd w:val="clear" w:color="auto" w:fill="FFFFFF"/>
              </w:rPr>
              <w:t>钛</w:t>
            </w:r>
            <w:r>
              <w:rPr>
                <w:rFonts w:hint="eastAsia" w:ascii="仿宋" w:hAnsi="仿宋"/>
                <w:bCs/>
                <w:color w:val="auto"/>
                <w:kern w:val="0"/>
                <w:sz w:val="24"/>
              </w:rPr>
              <w:t>等冶金新材料及辅料辅材综合利用产业。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710" w:type="dxa"/>
            <w:noWrap w:val="0"/>
            <w:vAlign w:val="center"/>
          </w:tcPr>
          <w:p>
            <w:pPr>
              <w:spacing w:line="276" w:lineRule="exact"/>
              <w:ind w:firstLine="0" w:firstLineChars="0"/>
              <w:jc w:val="center"/>
              <w:rPr>
                <w:rFonts w:hint="eastAsia" w:ascii="仿宋" w:hAnsi="仿宋"/>
                <w:b/>
                <w:bCs/>
                <w:color w:val="auto"/>
                <w:sz w:val="24"/>
              </w:rPr>
            </w:pPr>
            <w:r>
              <w:rPr>
                <w:rFonts w:hint="eastAsia" w:ascii="仿宋" w:hAnsi="仿宋"/>
                <w:b/>
                <w:bCs/>
                <w:color w:val="auto"/>
                <w:kern w:val="0"/>
                <w:sz w:val="24"/>
              </w:rPr>
              <w:t>洛（南）-山（阳）-镇（安）-柞（水）-旬（阳）-白（河）矿产品深加工基地</w:t>
            </w:r>
          </w:p>
        </w:tc>
        <w:tc>
          <w:tcPr>
            <w:tcW w:w="6217" w:type="dxa"/>
            <w:noWrap w:val="0"/>
            <w:vAlign w:val="center"/>
          </w:tcPr>
          <w:p>
            <w:pPr>
              <w:spacing w:line="320" w:lineRule="exact"/>
              <w:ind w:firstLine="480"/>
              <w:rPr>
                <w:rFonts w:hint="eastAsia" w:ascii="仿宋" w:hAnsi="仿宋"/>
                <w:b/>
                <w:bCs/>
                <w:color w:val="auto"/>
                <w:sz w:val="24"/>
              </w:rPr>
            </w:pPr>
            <w:r>
              <w:rPr>
                <w:rFonts w:hint="eastAsia" w:ascii="仿宋" w:hAnsi="仿宋"/>
                <w:bCs/>
                <w:color w:val="auto"/>
                <w:kern w:val="0"/>
                <w:sz w:val="24"/>
              </w:rPr>
              <w:t>利用洛南、山阳、镇安、柞水、旬阳、白河富集的矿产资源，重点发展钒、钼、金、银、铅、铁、汞、锌、铜等金属矿产资源深加工及钾长石、重晶石、大理石、石灰石等非金属矿产资源的深度开发。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10" w:type="dxa"/>
            <w:noWrap w:val="0"/>
            <w:vAlign w:val="center"/>
          </w:tcPr>
          <w:p>
            <w:pPr>
              <w:spacing w:line="276" w:lineRule="exact"/>
              <w:ind w:firstLine="0" w:firstLineChars="0"/>
              <w:jc w:val="center"/>
              <w:rPr>
                <w:rFonts w:hint="eastAsia" w:ascii="仿宋" w:hAnsi="仿宋"/>
                <w:b/>
                <w:bCs/>
                <w:color w:val="auto"/>
                <w:sz w:val="24"/>
              </w:rPr>
            </w:pPr>
            <w:r>
              <w:rPr>
                <w:rFonts w:hint="eastAsia" w:ascii="仿宋" w:hAnsi="仿宋"/>
                <w:b/>
                <w:bCs/>
                <w:color w:val="auto"/>
                <w:kern w:val="0"/>
                <w:sz w:val="24"/>
              </w:rPr>
              <w:t>镇（巴）-西（乡）清洁能源开发基地</w:t>
            </w:r>
          </w:p>
        </w:tc>
        <w:tc>
          <w:tcPr>
            <w:tcW w:w="6217" w:type="dxa"/>
            <w:noWrap w:val="0"/>
            <w:vAlign w:val="center"/>
          </w:tcPr>
          <w:p>
            <w:pPr>
              <w:spacing w:line="320" w:lineRule="exact"/>
              <w:ind w:firstLine="480"/>
              <w:rPr>
                <w:rFonts w:hint="eastAsia" w:ascii="仿宋" w:hAnsi="仿宋"/>
                <w:b/>
                <w:bCs/>
                <w:color w:val="auto"/>
                <w:sz w:val="24"/>
              </w:rPr>
            </w:pPr>
            <w:r>
              <w:rPr>
                <w:rFonts w:hint="eastAsia" w:ascii="仿宋" w:hAnsi="仿宋"/>
                <w:bCs/>
                <w:color w:val="auto"/>
                <w:kern w:val="0"/>
                <w:sz w:val="24"/>
              </w:rPr>
              <w:t>依托镇巴天然气、页岩气资源勘探开发，规划建设镇巴-西乡清洁能源产业园区，重点发展天然气资源开发、精深加工及配套服务业。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10" w:type="dxa"/>
            <w:noWrap w:val="0"/>
            <w:vAlign w:val="center"/>
          </w:tcPr>
          <w:p>
            <w:pPr>
              <w:spacing w:line="276" w:lineRule="exact"/>
              <w:ind w:firstLine="0" w:firstLineChars="0"/>
              <w:jc w:val="center"/>
              <w:rPr>
                <w:rFonts w:hint="eastAsia" w:ascii="仿宋" w:hAnsi="仿宋"/>
                <w:b/>
                <w:bCs/>
                <w:color w:val="auto"/>
                <w:sz w:val="24"/>
              </w:rPr>
            </w:pPr>
            <w:r>
              <w:rPr>
                <w:rFonts w:hint="eastAsia" w:ascii="仿宋" w:hAnsi="仿宋"/>
                <w:b/>
                <w:bCs/>
                <w:color w:val="auto"/>
                <w:kern w:val="0"/>
                <w:sz w:val="24"/>
              </w:rPr>
              <w:t>汉（台）-南（郑）-城（固）-洋（县）-西（乡）粮油产业基地</w:t>
            </w:r>
          </w:p>
        </w:tc>
        <w:tc>
          <w:tcPr>
            <w:tcW w:w="6217" w:type="dxa"/>
            <w:noWrap w:val="0"/>
            <w:vAlign w:val="center"/>
          </w:tcPr>
          <w:p>
            <w:pPr>
              <w:spacing w:line="320" w:lineRule="exact"/>
              <w:ind w:firstLine="480"/>
              <w:rPr>
                <w:rFonts w:hint="eastAsia" w:ascii="仿宋" w:hAnsi="仿宋"/>
                <w:b/>
                <w:bCs/>
                <w:color w:val="auto"/>
                <w:sz w:val="24"/>
              </w:rPr>
            </w:pPr>
            <w:r>
              <w:rPr>
                <w:rFonts w:hint="eastAsia" w:ascii="仿宋" w:hAnsi="仿宋"/>
                <w:bCs/>
                <w:color w:val="auto"/>
                <w:kern w:val="0"/>
                <w:sz w:val="24"/>
              </w:rPr>
              <w:t>依托汉中平川六县区传统粮油生产大县优势，加快推进农业产业化经营，延展农业功能和产业链。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710" w:type="dxa"/>
            <w:noWrap w:val="0"/>
            <w:vAlign w:val="center"/>
          </w:tcPr>
          <w:p>
            <w:pPr>
              <w:spacing w:line="276" w:lineRule="exact"/>
              <w:ind w:firstLine="0" w:firstLineChars="0"/>
              <w:jc w:val="center"/>
              <w:rPr>
                <w:rFonts w:hint="eastAsia" w:ascii="仿宋" w:hAnsi="仿宋"/>
                <w:b/>
                <w:bCs/>
                <w:color w:val="auto"/>
                <w:sz w:val="24"/>
              </w:rPr>
            </w:pPr>
            <w:r>
              <w:rPr>
                <w:rFonts w:hint="eastAsia" w:ascii="仿宋" w:hAnsi="仿宋"/>
                <w:b/>
                <w:bCs/>
                <w:color w:val="auto"/>
                <w:kern w:val="0"/>
                <w:sz w:val="24"/>
              </w:rPr>
              <w:t>西（乡）-镇（巴）-紫（阳）优质茶产业基地</w:t>
            </w:r>
          </w:p>
        </w:tc>
        <w:tc>
          <w:tcPr>
            <w:tcW w:w="6217" w:type="dxa"/>
            <w:noWrap w:val="0"/>
            <w:vAlign w:val="center"/>
          </w:tcPr>
          <w:p>
            <w:pPr>
              <w:spacing w:line="320" w:lineRule="exact"/>
              <w:ind w:firstLine="480"/>
              <w:rPr>
                <w:rFonts w:hint="eastAsia" w:ascii="仿宋" w:hAnsi="仿宋"/>
                <w:b/>
                <w:bCs/>
                <w:color w:val="auto"/>
                <w:sz w:val="24"/>
              </w:rPr>
            </w:pPr>
            <w:r>
              <w:rPr>
                <w:rFonts w:hint="eastAsia" w:ascii="仿宋" w:hAnsi="仿宋"/>
                <w:bCs/>
                <w:color w:val="auto"/>
                <w:kern w:val="0"/>
                <w:sz w:val="24"/>
              </w:rPr>
              <w:t>依托西乡、镇巴、紫阳优质茶叶优势，着力扩大种植规模，加强现代茶园建设，创新营销渠道，不断提升富硒名茶品牌。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10" w:type="dxa"/>
            <w:noWrap w:val="0"/>
            <w:vAlign w:val="center"/>
          </w:tcPr>
          <w:p>
            <w:pPr>
              <w:spacing w:line="276" w:lineRule="exact"/>
              <w:ind w:firstLine="0" w:firstLineChars="0"/>
              <w:jc w:val="center"/>
              <w:rPr>
                <w:rFonts w:hint="eastAsia" w:ascii="仿宋" w:hAnsi="仿宋"/>
                <w:b/>
                <w:bCs/>
                <w:color w:val="auto"/>
                <w:sz w:val="24"/>
              </w:rPr>
            </w:pPr>
            <w:r>
              <w:rPr>
                <w:rFonts w:hint="eastAsia" w:ascii="仿宋" w:hAnsi="仿宋"/>
                <w:b/>
                <w:bCs/>
                <w:color w:val="auto"/>
                <w:kern w:val="0"/>
                <w:sz w:val="24"/>
              </w:rPr>
              <w:t>洛（南）-丹（凤）-商（南）等特色农业产业基地</w:t>
            </w:r>
          </w:p>
        </w:tc>
        <w:tc>
          <w:tcPr>
            <w:tcW w:w="6217" w:type="dxa"/>
            <w:noWrap w:val="0"/>
            <w:vAlign w:val="center"/>
          </w:tcPr>
          <w:p>
            <w:pPr>
              <w:spacing w:line="320" w:lineRule="exact"/>
              <w:ind w:firstLine="480"/>
              <w:rPr>
                <w:rFonts w:hint="eastAsia" w:ascii="仿宋" w:hAnsi="仿宋"/>
                <w:b/>
                <w:bCs/>
                <w:color w:val="auto"/>
                <w:sz w:val="24"/>
              </w:rPr>
            </w:pPr>
            <w:r>
              <w:rPr>
                <w:rFonts w:hint="eastAsia" w:ascii="仿宋" w:hAnsi="仿宋"/>
                <w:bCs/>
                <w:color w:val="auto"/>
                <w:kern w:val="0"/>
                <w:sz w:val="24"/>
              </w:rPr>
              <w:t>依托洛南、丹凤、商南、山阳、镇安、柞水林特资源优势，重点发展核桃、蚕桑、烤烟、板栗、木耳、魔芋特色产业，加快产业化步伐。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trPr>
        <w:tc>
          <w:tcPr>
            <w:tcW w:w="2710" w:type="dxa"/>
            <w:noWrap w:val="0"/>
            <w:vAlign w:val="center"/>
          </w:tcPr>
          <w:p>
            <w:pPr>
              <w:spacing w:line="276" w:lineRule="exact"/>
              <w:ind w:firstLine="0" w:firstLineChars="0"/>
              <w:jc w:val="center"/>
              <w:rPr>
                <w:rFonts w:hint="eastAsia" w:ascii="仿宋" w:hAnsi="仿宋"/>
                <w:b/>
                <w:bCs/>
                <w:color w:val="auto"/>
                <w:sz w:val="24"/>
              </w:rPr>
            </w:pPr>
            <w:r>
              <w:rPr>
                <w:rFonts w:hint="eastAsia" w:ascii="仿宋" w:hAnsi="仿宋"/>
                <w:b/>
                <w:bCs/>
                <w:color w:val="auto"/>
                <w:kern w:val="0"/>
                <w:sz w:val="24"/>
              </w:rPr>
              <w:t>岚（皋）-平（利）-镇（坪）-白（河）、洋（县）-南（郑）-城（固）-西（乡）-镇（巴）-佛（坪）-略(阳)-宁（强）中草药产业基地</w:t>
            </w:r>
          </w:p>
        </w:tc>
        <w:tc>
          <w:tcPr>
            <w:tcW w:w="6217" w:type="dxa"/>
            <w:noWrap w:val="0"/>
            <w:vAlign w:val="center"/>
          </w:tcPr>
          <w:p>
            <w:pPr>
              <w:spacing w:line="320" w:lineRule="exact"/>
              <w:ind w:firstLine="480"/>
              <w:rPr>
                <w:rFonts w:hint="eastAsia" w:ascii="仿宋" w:hAnsi="仿宋"/>
                <w:b/>
                <w:bCs/>
                <w:color w:val="auto"/>
                <w:sz w:val="24"/>
              </w:rPr>
            </w:pPr>
            <w:r>
              <w:rPr>
                <w:rFonts w:hint="eastAsia" w:ascii="仿宋" w:hAnsi="仿宋"/>
                <w:bCs/>
                <w:color w:val="auto"/>
                <w:kern w:val="0"/>
                <w:sz w:val="24"/>
              </w:rPr>
              <w:t>依托岚皋、平利、镇坪、白河、</w:t>
            </w:r>
            <w:r>
              <w:rPr>
                <w:rFonts w:hint="eastAsia" w:ascii="仿宋" w:hAnsi="仿宋"/>
                <w:color w:val="auto"/>
                <w:kern w:val="0"/>
                <w:sz w:val="24"/>
              </w:rPr>
              <w:t>洋县、南郑、城固、西乡、镇巴、佛坪、略阳、宁强等</w:t>
            </w:r>
            <w:r>
              <w:rPr>
                <w:rFonts w:hint="eastAsia" w:ascii="仿宋" w:hAnsi="仿宋"/>
                <w:bCs/>
                <w:color w:val="auto"/>
                <w:kern w:val="0"/>
                <w:sz w:val="24"/>
              </w:rPr>
              <w:t>优质道地中药材，加大资源整合和产业化开发，重点发展绞股蓝、杜仲、葛根、黄连、山茱萸、元胡、附子、银杏、猪苓、西洋参、玄参、党参、天麻、白芍、牡丹、板蓝根等中药规模种植和开发，</w:t>
            </w:r>
            <w:r>
              <w:rPr>
                <w:rFonts w:hint="eastAsia" w:ascii="仿宋" w:hAnsi="仿宋"/>
                <w:color w:val="auto"/>
                <w:kern w:val="0"/>
                <w:sz w:val="24"/>
              </w:rPr>
              <w:t>建设环秦巴浅山丘陵区域百万亩中草药种植基</w:t>
            </w:r>
            <w:r>
              <w:rPr>
                <w:rFonts w:hint="eastAsia" w:ascii="仿宋" w:hAnsi="仿宋"/>
                <w:bCs/>
                <w:color w:val="auto"/>
                <w:kern w:val="0"/>
                <w:sz w:val="24"/>
              </w:rPr>
              <w:t>地，发展医药中间体提取和精制提纯，开发系列保健品。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10" w:type="dxa"/>
            <w:noWrap w:val="0"/>
            <w:vAlign w:val="center"/>
          </w:tcPr>
          <w:p>
            <w:pPr>
              <w:spacing w:line="276" w:lineRule="exact"/>
              <w:ind w:firstLine="0" w:firstLineChars="0"/>
              <w:jc w:val="center"/>
              <w:rPr>
                <w:rFonts w:hint="eastAsia" w:ascii="仿宋" w:hAnsi="仿宋"/>
                <w:b/>
                <w:bCs/>
                <w:color w:val="auto"/>
                <w:kern w:val="0"/>
                <w:sz w:val="24"/>
              </w:rPr>
            </w:pPr>
            <w:r>
              <w:rPr>
                <w:rFonts w:hint="eastAsia" w:ascii="仿宋" w:hAnsi="仿宋"/>
                <w:b/>
                <w:bCs/>
                <w:color w:val="auto"/>
                <w:kern w:val="0"/>
                <w:sz w:val="24"/>
              </w:rPr>
              <w:t>岚（皋）-紫（阳）-旬（阳）-汉（滨）-汉（阴）富硒魔芋产业基地</w:t>
            </w:r>
          </w:p>
        </w:tc>
        <w:tc>
          <w:tcPr>
            <w:tcW w:w="6217" w:type="dxa"/>
            <w:noWrap w:val="0"/>
            <w:vAlign w:val="center"/>
          </w:tcPr>
          <w:p>
            <w:pPr>
              <w:spacing w:line="320" w:lineRule="exact"/>
              <w:ind w:firstLine="480"/>
              <w:rPr>
                <w:rFonts w:hint="eastAsia" w:ascii="仿宋" w:hAnsi="仿宋"/>
                <w:bCs/>
                <w:color w:val="auto"/>
                <w:kern w:val="0"/>
                <w:sz w:val="24"/>
              </w:rPr>
            </w:pPr>
            <w:r>
              <w:rPr>
                <w:rFonts w:hint="eastAsia" w:ascii="仿宋" w:hAnsi="仿宋"/>
                <w:bCs/>
                <w:color w:val="auto"/>
                <w:kern w:val="0"/>
                <w:sz w:val="24"/>
              </w:rPr>
              <w:t>推行魔芋标准化种植，建设岚皋、紫阳、旬阳、汉滨、汉阴5个核心种源区，不断完善加工和销售体系，着力打造“全国魔芋之乡”。</w:t>
            </w:r>
          </w:p>
        </w:tc>
      </w:tr>
    </w:tbl>
    <w:p>
      <w:pPr>
        <w:spacing w:line="610" w:lineRule="exact"/>
        <w:ind w:firstLine="640"/>
        <w:rPr>
          <w:rFonts w:hint="eastAsia" w:ascii="仿宋_GB2312" w:hAnsi="仿宋" w:eastAsia="仿宋_GB2312"/>
          <w:bCs/>
          <w:color w:val="auto"/>
          <w:kern w:val="0"/>
          <w:szCs w:val="32"/>
        </w:rPr>
      </w:pPr>
      <w:r>
        <w:rPr>
          <w:rFonts w:hint="eastAsia" w:ascii="方正黑体简体" w:hAnsi="宋体" w:eastAsia="方正黑体简体" w:cs="宋体"/>
          <w:bCs/>
          <w:color w:val="auto"/>
          <w:szCs w:val="32"/>
        </w:rPr>
        <w:t>三、构建“两江两山全域”旅游新格局。</w:t>
      </w:r>
      <w:r>
        <w:rPr>
          <w:rFonts w:hint="eastAsia" w:ascii="仿宋_GB2312" w:hAnsi="仿宋" w:eastAsia="仿宋_GB2312"/>
          <w:bCs/>
          <w:color w:val="auto"/>
          <w:kern w:val="0"/>
          <w:szCs w:val="32"/>
        </w:rPr>
        <w:t>依托丰富的自然生态资源和悠久璀璨的人文资源，积极发展生态、文化旅游产业，加快精品景区提档升级，构建“两江两山全域”的产业空间布局。</w:t>
      </w:r>
    </w:p>
    <w:p>
      <w:pPr>
        <w:spacing w:line="610" w:lineRule="exact"/>
        <w:ind w:firstLine="643"/>
        <w:rPr>
          <w:rFonts w:hint="eastAsia" w:ascii="仿宋_GB2312" w:hAnsi="仿宋" w:eastAsia="仿宋_GB2312"/>
          <w:b/>
          <w:color w:val="auto"/>
          <w:kern w:val="0"/>
          <w:szCs w:val="32"/>
        </w:rPr>
      </w:pPr>
      <w:r>
        <w:rPr>
          <w:rFonts w:hint="eastAsia" w:ascii="仿宋_GB2312" w:hAnsi="仿宋" w:eastAsia="仿宋_GB2312"/>
          <w:b/>
          <w:color w:val="auto"/>
          <w:kern w:val="0"/>
          <w:szCs w:val="32"/>
        </w:rPr>
        <w:t>两江：</w:t>
      </w:r>
      <w:r>
        <w:rPr>
          <w:rFonts w:hint="eastAsia" w:ascii="仿宋_GB2312" w:hAnsi="仿宋" w:eastAsia="仿宋_GB2312"/>
          <w:bCs/>
          <w:color w:val="auto"/>
          <w:kern w:val="0"/>
          <w:szCs w:val="32"/>
        </w:rPr>
        <w:t>即沿</w:t>
      </w:r>
      <w:r>
        <w:rPr>
          <w:rFonts w:hint="eastAsia" w:ascii="仿宋_GB2312" w:hAnsi="仿宋" w:eastAsia="仿宋_GB2312"/>
          <w:b/>
          <w:color w:val="auto"/>
          <w:kern w:val="0"/>
          <w:szCs w:val="32"/>
        </w:rPr>
        <w:t>汉江</w:t>
      </w:r>
      <w:r>
        <w:rPr>
          <w:rFonts w:hint="eastAsia" w:ascii="仿宋_GB2312" w:hAnsi="仿宋" w:eastAsia="仿宋_GB2312"/>
          <w:bCs/>
          <w:color w:val="auto"/>
          <w:kern w:val="0"/>
          <w:szCs w:val="32"/>
        </w:rPr>
        <w:t>涉水旅游</w:t>
      </w:r>
      <w:r>
        <w:rPr>
          <w:rFonts w:hint="eastAsia" w:ascii="仿宋_GB2312" w:hAnsi="仿宋" w:eastAsia="仿宋_GB2312"/>
          <w:b/>
          <w:color w:val="auto"/>
          <w:kern w:val="0"/>
          <w:szCs w:val="32"/>
        </w:rPr>
        <w:t>，</w:t>
      </w:r>
      <w:r>
        <w:rPr>
          <w:rFonts w:hint="eastAsia" w:ascii="仿宋_GB2312" w:hAnsi="仿宋" w:eastAsia="仿宋_GB2312"/>
          <w:bCs/>
          <w:color w:val="auto"/>
          <w:kern w:val="0"/>
          <w:szCs w:val="32"/>
        </w:rPr>
        <w:t>包括武侯墓、定军山、武侯祠、古汉台、张骞墓、石门栈道、朱鹮梨园、华阳、后柳水乡、中坝大峡谷、燕翔洞、凤堰古梯田、文笔山道教养生园、任河漂流旅游区、流水星火传奇、瀛湖、安康中心城环江50里汉江休闲旅游带、香溪洞、太极城、红石河、秦巴水乡汽车营地等景区；沿</w:t>
      </w:r>
      <w:r>
        <w:rPr>
          <w:rFonts w:hint="eastAsia" w:ascii="仿宋_GB2312" w:hAnsi="仿宋" w:eastAsia="仿宋_GB2312"/>
          <w:b/>
          <w:color w:val="auto"/>
          <w:kern w:val="0"/>
          <w:szCs w:val="32"/>
        </w:rPr>
        <w:t>丹江</w:t>
      </w:r>
      <w:r>
        <w:rPr>
          <w:rFonts w:hint="eastAsia" w:ascii="仿宋_GB2312" w:hAnsi="仿宋" w:eastAsia="仿宋_GB2312"/>
          <w:bCs/>
          <w:color w:val="auto"/>
          <w:kern w:val="0"/>
          <w:szCs w:val="32"/>
        </w:rPr>
        <w:t>涉水旅游，包括商於古道、古蓝关、韩愈祠、仙鹅湖、佛诞地、罗公砭、棣花古镇、武关、青峰驿、金丝峡、阳城驿、闯王寨等景区。</w:t>
      </w:r>
    </w:p>
    <w:p>
      <w:pPr>
        <w:spacing w:line="610" w:lineRule="exact"/>
        <w:ind w:firstLine="643"/>
        <w:rPr>
          <w:rFonts w:hint="eastAsia" w:ascii="仿宋_GB2312" w:hAnsi="仿宋" w:eastAsia="仿宋_GB2312"/>
          <w:bCs/>
          <w:color w:val="auto"/>
          <w:kern w:val="0"/>
          <w:szCs w:val="32"/>
        </w:rPr>
      </w:pPr>
      <w:r>
        <w:rPr>
          <w:rFonts w:hint="eastAsia" w:ascii="仿宋_GB2312" w:hAnsi="仿宋" w:eastAsia="仿宋_GB2312"/>
          <w:b/>
          <w:color w:val="auto"/>
          <w:kern w:val="0"/>
          <w:szCs w:val="32"/>
        </w:rPr>
        <w:t>两山</w:t>
      </w:r>
      <w:r>
        <w:rPr>
          <w:rFonts w:hint="eastAsia" w:ascii="仿宋_GB2312" w:hAnsi="仿宋" w:eastAsia="仿宋_GB2312"/>
          <w:bCs/>
          <w:color w:val="auto"/>
          <w:kern w:val="0"/>
          <w:szCs w:val="32"/>
        </w:rPr>
        <w:t>：一是</w:t>
      </w:r>
      <w:r>
        <w:rPr>
          <w:rFonts w:hint="eastAsia" w:ascii="仿宋_GB2312" w:hAnsi="仿宋" w:eastAsia="仿宋_GB2312"/>
          <w:b/>
          <w:color w:val="auto"/>
          <w:kern w:val="0"/>
          <w:szCs w:val="32"/>
        </w:rPr>
        <w:t>大秦岭</w:t>
      </w:r>
      <w:r>
        <w:rPr>
          <w:rFonts w:hint="eastAsia" w:ascii="仿宋_GB2312" w:hAnsi="仿宋" w:eastAsia="仿宋_GB2312"/>
          <w:bCs/>
          <w:color w:val="auto"/>
          <w:kern w:val="0"/>
          <w:szCs w:val="32"/>
        </w:rPr>
        <w:t>山地旅游。包括张良庙紫柏山、熊猫谷、五龙洞、筒车湾、上坝河、悠然山庄、秦岭峡谷漂流、秦岭四季滑雪馆、中庄逍遥谷、皇冠森林度假旅游小镇、鬼谷岭、木王山、塔云山、牛背梁、终南山秦楚古道、柞水溶洞、九天山、凤凰古镇、月亮洞、漫川古镇、天竺山、老君山、牧护关等景区。二是</w:t>
      </w:r>
      <w:r>
        <w:rPr>
          <w:rFonts w:hint="eastAsia" w:ascii="仿宋_GB2312" w:hAnsi="仿宋" w:eastAsia="仿宋_GB2312"/>
          <w:b/>
          <w:color w:val="auto"/>
          <w:kern w:val="0"/>
          <w:szCs w:val="32"/>
        </w:rPr>
        <w:t>大巴山</w:t>
      </w:r>
      <w:r>
        <w:rPr>
          <w:rFonts w:hint="eastAsia" w:ascii="仿宋_GB2312" w:hAnsi="仿宋" w:eastAsia="仿宋_GB2312"/>
          <w:bCs/>
          <w:color w:val="auto"/>
          <w:kern w:val="0"/>
          <w:szCs w:val="32"/>
        </w:rPr>
        <w:t>生态旅游。包括青木川、黎坪、白天河、大巴山茶马文化旅游区、双龙生态旅游景区、凤凰山旅游度假区、南宫山、千层河-神河源、飞渡峡-黄安坝、天书峡、女娲山、龙头村、芍药谷、三里垭贡茶基地自驾营地等景区。</w:t>
      </w:r>
    </w:p>
    <w:p>
      <w:pPr>
        <w:spacing w:line="610" w:lineRule="exact"/>
        <w:ind w:firstLine="643"/>
        <w:rPr>
          <w:rFonts w:hint="eastAsia" w:ascii="仿宋_GB2312" w:hAnsi="仿宋" w:eastAsia="仿宋_GB2312"/>
          <w:b/>
          <w:color w:val="auto"/>
          <w:kern w:val="0"/>
          <w:szCs w:val="32"/>
        </w:rPr>
      </w:pPr>
      <w:r>
        <w:rPr>
          <w:rFonts w:hint="eastAsia" w:ascii="仿宋_GB2312" w:hAnsi="仿宋" w:eastAsia="仿宋_GB2312"/>
          <w:b/>
          <w:color w:val="auto"/>
          <w:kern w:val="0"/>
          <w:szCs w:val="32"/>
        </w:rPr>
        <w:t>全域</w:t>
      </w:r>
      <w:r>
        <w:rPr>
          <w:rFonts w:hint="eastAsia" w:ascii="仿宋_GB2312" w:hAnsi="仿宋" w:eastAsia="仿宋_GB2312"/>
          <w:bCs/>
          <w:color w:val="auto"/>
          <w:kern w:val="0"/>
          <w:szCs w:val="32"/>
        </w:rPr>
        <w:t>：依托风景名胜区、自然保护区</w:t>
      </w:r>
      <w:r>
        <w:rPr>
          <w:rFonts w:hint="eastAsia"/>
          <w:color w:val="auto"/>
        </w:rPr>
        <w:t>、</w:t>
      </w:r>
      <w:r>
        <w:rPr>
          <w:rFonts w:hint="eastAsia" w:ascii="仿宋_GB2312" w:hAnsi="仿宋" w:eastAsia="仿宋_GB2312"/>
          <w:bCs/>
          <w:color w:val="auto"/>
          <w:kern w:val="0"/>
          <w:szCs w:val="32"/>
        </w:rPr>
        <w:t>森林公园、地质公园、重要湿地、</w:t>
      </w:r>
      <w:r>
        <w:rPr>
          <w:rFonts w:hint="eastAsia"/>
          <w:color w:val="auto"/>
        </w:rPr>
        <w:t>省级文化旅游名镇、乡村旅游示范村、省级休闲农业示范点和明星村等旅游资源，</w:t>
      </w:r>
      <w:r>
        <w:rPr>
          <w:rFonts w:hint="eastAsia" w:ascii="仿宋_GB2312" w:hAnsi="仿宋" w:eastAsia="仿宋_GB2312"/>
          <w:bCs/>
          <w:color w:val="auto"/>
          <w:kern w:val="0"/>
          <w:szCs w:val="32"/>
        </w:rPr>
        <w:t>因地制宜发展乡村游、观光游、度假游、避暑游、体验游、自驾游等</w:t>
      </w:r>
      <w:r>
        <w:rPr>
          <w:rFonts w:hint="eastAsia" w:ascii="仿宋_GB2312" w:hAnsi="仿宋" w:eastAsia="仿宋_GB2312"/>
          <w:b/>
          <w:color w:val="auto"/>
          <w:kern w:val="0"/>
          <w:szCs w:val="32"/>
        </w:rPr>
        <w:t>全域</w:t>
      </w:r>
      <w:r>
        <w:rPr>
          <w:rFonts w:hint="eastAsia" w:ascii="仿宋_GB2312" w:hAnsi="仿宋" w:eastAsia="仿宋_GB2312"/>
          <w:bCs/>
          <w:color w:val="auto"/>
          <w:kern w:val="0"/>
          <w:szCs w:val="32"/>
        </w:rPr>
        <w:t>旅游。</w:t>
      </w:r>
    </w:p>
    <w:p>
      <w:pPr>
        <w:ind w:firstLine="0" w:firstLineChars="0"/>
        <w:jc w:val="cente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3954145</wp:posOffset>
                </wp:positionH>
                <wp:positionV relativeFrom="paragraph">
                  <wp:posOffset>2350135</wp:posOffset>
                </wp:positionV>
                <wp:extent cx="1270635" cy="262890"/>
                <wp:effectExtent l="83820" t="398780" r="17145" b="24130"/>
                <wp:wrapNone/>
                <wp:docPr id="4" name="自选图形 5"/>
                <wp:cNvGraphicFramePr/>
                <a:graphic xmlns:a="http://schemas.openxmlformats.org/drawingml/2006/main">
                  <a:graphicData uri="http://schemas.microsoft.com/office/word/2010/wordprocessingShape">
                    <wps:wsp>
                      <wps:cNvSpPr/>
                      <wps:spPr>
                        <a:xfrm>
                          <a:off x="0" y="0"/>
                          <a:ext cx="1270635" cy="262890"/>
                        </a:xfrm>
                        <a:prstGeom prst="wedgeRectCallout">
                          <a:avLst>
                            <a:gd name="adj1" fmla="val -54648"/>
                            <a:gd name="adj2" fmla="val -192755"/>
                          </a:avLst>
                        </a:prstGeom>
                        <a:noFill/>
                        <a:ln w="12700" cap="flat" cmpd="sng">
                          <a:solidFill>
                            <a:srgbClr val="2FC9FF"/>
                          </a:solidFill>
                          <a:prstDash val="solid"/>
                          <a:miter/>
                          <a:headEnd type="none" w="med" len="med"/>
                          <a:tailEnd type="none" w="med" len="med"/>
                        </a:ln>
                      </wps:spPr>
                      <wps:txbx>
                        <w:txbxContent>
                          <w:p>
                            <w:pPr>
                              <w:spacing w:line="240" w:lineRule="auto"/>
                              <w:ind w:firstLine="0" w:firstLineChars="0"/>
                            </w:pPr>
                            <w:r>
                              <w:rPr>
                                <w:rFonts w:hint="eastAsia" w:ascii="宋体" w:hAnsi="宋体" w:eastAsia="宋体"/>
                                <w:b/>
                                <w:sz w:val="24"/>
                              </w:rPr>
                              <w:t>沿汉江旅游景区</w:t>
                            </w:r>
                          </w:p>
                        </w:txbxContent>
                      </wps:txbx>
                      <wps:bodyPr wrap="square" upright="1"/>
                    </wps:wsp>
                  </a:graphicData>
                </a:graphic>
              </wp:anchor>
            </w:drawing>
          </mc:Choice>
          <mc:Fallback>
            <w:pict>
              <v:shape id="自选图形 5" o:spid="_x0000_s1026" o:spt="61" type="#_x0000_t61" style="position:absolute;left:0pt;margin-left:311.35pt;margin-top:185.05pt;height:20.7pt;width:100.05pt;z-index:251662336;mso-width-relative:page;mso-height-relative:page;" filled="f" stroked="t" coordsize="21600,21600" o:gfxdata="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HmHZ2gAAAAsBAAAPAAAAAAAAAAEAIAAA&#10;ACIAAABkcnMvZG93bnJldi54bWxQSwECFAAUAAAACACHTuJAjArh8EMCAAB1BAAADgAAAAAAAAAB&#10;ACAAAAApAQAAZHJzL2Uyb0RvYy54bWxQSwUGAAAAAAYABgBZAQAA3gUAAAAA&#10;" adj="-1004,-30835">
                <v:fill on="f" focussize="0,0"/>
                <v:stroke weight="1pt" color="#2FC9FF" joinstyle="miter"/>
                <v:imagedata o:title=""/>
                <o:lock v:ext="edit" aspectratio="f"/>
                <v:textbox>
                  <w:txbxContent>
                    <w:p>
                      <w:pPr>
                        <w:spacing w:line="240" w:lineRule="auto"/>
                        <w:ind w:firstLine="0" w:firstLineChars="0"/>
                      </w:pPr>
                      <w:r>
                        <w:rPr>
                          <w:rFonts w:hint="eastAsia" w:ascii="宋体" w:hAnsi="宋体" w:eastAsia="宋体"/>
                          <w:b/>
                          <w:sz w:val="24"/>
                        </w:rPr>
                        <w:t>沿汉江旅游景区</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175895</wp:posOffset>
                </wp:positionV>
                <wp:extent cx="1270635" cy="272415"/>
                <wp:effectExtent l="6350" t="6350" r="494665" b="464185"/>
                <wp:wrapNone/>
                <wp:docPr id="5" name="自选图形 6"/>
                <wp:cNvGraphicFramePr/>
                <a:graphic xmlns:a="http://schemas.openxmlformats.org/drawingml/2006/main">
                  <a:graphicData uri="http://schemas.microsoft.com/office/word/2010/wordprocessingShape">
                    <wps:wsp>
                      <wps:cNvSpPr/>
                      <wps:spPr>
                        <a:xfrm>
                          <a:off x="0" y="0"/>
                          <a:ext cx="1270635" cy="272415"/>
                        </a:xfrm>
                        <a:prstGeom prst="wedgeRectCallout">
                          <a:avLst>
                            <a:gd name="adj1" fmla="val 84884"/>
                            <a:gd name="adj2" fmla="val 206764"/>
                          </a:avLst>
                        </a:prstGeom>
                        <a:noFill/>
                        <a:ln w="12700" cap="flat" cmpd="sng">
                          <a:solidFill>
                            <a:srgbClr val="2FC9FF"/>
                          </a:solidFill>
                          <a:prstDash val="solid"/>
                          <a:miter/>
                          <a:headEnd type="none" w="med" len="med"/>
                          <a:tailEnd type="none" w="med" len="med"/>
                        </a:ln>
                      </wps:spPr>
                      <wps:txbx>
                        <w:txbxContent>
                          <w:p>
                            <w:pPr>
                              <w:spacing w:line="240" w:lineRule="auto"/>
                              <w:ind w:firstLine="0" w:firstLineChars="0"/>
                            </w:pPr>
                            <w:r>
                              <w:rPr>
                                <w:rFonts w:hint="eastAsia" w:ascii="宋体" w:hAnsi="宋体" w:eastAsia="宋体"/>
                                <w:b/>
                                <w:sz w:val="24"/>
                              </w:rPr>
                              <w:t>沿丹江旅游景区</w:t>
                            </w:r>
                          </w:p>
                        </w:txbxContent>
                      </wps:txbx>
                      <wps:bodyPr wrap="square" upright="1"/>
                    </wps:wsp>
                  </a:graphicData>
                </a:graphic>
              </wp:anchor>
            </w:drawing>
          </mc:Choice>
          <mc:Fallback>
            <w:pict>
              <v:shape id="自选图形 6" o:spid="_x0000_s1026" o:spt="61" type="#_x0000_t61" style="position:absolute;left:0pt;margin-left:207pt;margin-top:13.85pt;height:21.45pt;width:100.05pt;z-index:251663360;mso-width-relative:page;mso-height-relative:page;" filled="f" stroked="t" coordsize="21600,21600" o:gfxdata="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&#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2SfkN2QAAAAkBAAAPAAAAAAAAAAEAIAAAACIAAABk&#10;cnMvZG93bnJldi54bWxQSwECFAAUAAAACACHTuJAy1kKAD4CAABzBAAADgAAAAAAAAABACAAAAAo&#10;AQAAZHJzL2Uyb0RvYy54bWxQSwUGAAAAAAYABgBZAQAA2AUAAAAA&#10;" adj="29135,55461">
                <v:fill on="f" focussize="0,0"/>
                <v:stroke weight="1pt" color="#2FC9FF" joinstyle="miter"/>
                <v:imagedata o:title=""/>
                <o:lock v:ext="edit" aspectratio="f"/>
                <v:textbox>
                  <w:txbxContent>
                    <w:p>
                      <w:pPr>
                        <w:spacing w:line="240" w:lineRule="auto"/>
                        <w:ind w:firstLine="0" w:firstLineChars="0"/>
                      </w:pPr>
                      <w:r>
                        <w:rPr>
                          <w:rFonts w:hint="eastAsia" w:ascii="宋体" w:hAnsi="宋体" w:eastAsia="宋体"/>
                          <w:b/>
                          <w:sz w:val="24"/>
                        </w:rPr>
                        <w:t>沿丹江旅游景区</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158750</wp:posOffset>
                </wp:positionH>
                <wp:positionV relativeFrom="paragraph">
                  <wp:posOffset>2513965</wp:posOffset>
                </wp:positionV>
                <wp:extent cx="1303655" cy="262890"/>
                <wp:effectExtent l="6350" t="429260" r="61595" b="12700"/>
                <wp:wrapNone/>
                <wp:docPr id="3" name="自选图形 4"/>
                <wp:cNvGraphicFramePr/>
                <a:graphic xmlns:a="http://schemas.openxmlformats.org/drawingml/2006/main">
                  <a:graphicData uri="http://schemas.microsoft.com/office/word/2010/wordprocessingShape">
                    <wps:wsp>
                      <wps:cNvSpPr/>
                      <wps:spPr>
                        <a:xfrm>
                          <a:off x="0" y="0"/>
                          <a:ext cx="1303655" cy="262890"/>
                        </a:xfrm>
                        <a:prstGeom prst="wedgeRectCallout">
                          <a:avLst>
                            <a:gd name="adj1" fmla="val 52778"/>
                            <a:gd name="adj2" fmla="val -204588"/>
                          </a:avLst>
                        </a:prstGeom>
                        <a:noFill/>
                        <a:ln w="12700" cap="flat" cmpd="sng">
                          <a:solidFill>
                            <a:srgbClr val="2FC9FF"/>
                          </a:solidFill>
                          <a:prstDash val="solid"/>
                          <a:miter/>
                          <a:headEnd type="none" w="med" len="med"/>
                          <a:tailEnd type="none" w="med" len="med"/>
                        </a:ln>
                      </wps:spPr>
                      <wps:txbx>
                        <w:txbxContent>
                          <w:p>
                            <w:pPr>
                              <w:spacing w:line="240" w:lineRule="auto"/>
                              <w:ind w:firstLine="0" w:firstLineChars="0"/>
                            </w:pPr>
                            <w:r>
                              <w:rPr>
                                <w:rFonts w:hint="eastAsia" w:ascii="宋体" w:hAnsi="宋体" w:eastAsia="宋体"/>
                                <w:b/>
                                <w:sz w:val="24"/>
                              </w:rPr>
                              <w:t>大巴山旅游景区</w:t>
                            </w:r>
                          </w:p>
                        </w:txbxContent>
                      </wps:txbx>
                      <wps:bodyPr wrap="square" upright="1"/>
                    </wps:wsp>
                  </a:graphicData>
                </a:graphic>
              </wp:anchor>
            </w:drawing>
          </mc:Choice>
          <mc:Fallback>
            <w:pict>
              <v:shape id="自选图形 4" o:spid="_x0000_s1026" o:spt="61" type="#_x0000_t61" style="position:absolute;left:0pt;margin-left:12.5pt;margin-top:197.95pt;height:20.7pt;width:102.65pt;z-index:251661312;mso-width-relative:page;mso-height-relative:page;" filled="f" stroked="t" coordsize="21600,21600" o:gfxdata="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56J2DZAAAACgEAAA8AAAAAAAAAAQAg&#10;AAAAIgAAAGRycy9kb3ducmV2LnhtbFBLAQIUABQAAAAIAIdO4kCwBfFJRgIAAHQEAAAOAAAAAAAA&#10;AAEAIAAAACgBAABkcnMvZTJvRG9jLnhtbFBLBQYAAAAABgAGAFkBAADgBQAAAAA=&#10;" adj="22200,-33391">
                <v:fill on="f" focussize="0,0"/>
                <v:stroke weight="1pt" color="#2FC9FF" joinstyle="miter"/>
                <v:imagedata o:title=""/>
                <o:lock v:ext="edit" aspectratio="f"/>
                <v:textbox>
                  <w:txbxContent>
                    <w:p>
                      <w:pPr>
                        <w:spacing w:line="240" w:lineRule="auto"/>
                        <w:ind w:firstLine="0" w:firstLineChars="0"/>
                      </w:pPr>
                      <w:r>
                        <w:rPr>
                          <w:rFonts w:hint="eastAsia" w:ascii="宋体" w:hAnsi="宋体" w:eastAsia="宋体"/>
                          <w:b/>
                          <w:sz w:val="24"/>
                        </w:rPr>
                        <w:t>大巴山旅游景区</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342900</wp:posOffset>
                </wp:positionV>
                <wp:extent cx="1303655" cy="262890"/>
                <wp:effectExtent l="6350" t="6350" r="23495" b="607060"/>
                <wp:wrapNone/>
                <wp:docPr id="2" name="自选图形 3"/>
                <wp:cNvGraphicFramePr/>
                <a:graphic xmlns:a="http://schemas.openxmlformats.org/drawingml/2006/main">
                  <a:graphicData uri="http://schemas.microsoft.com/office/word/2010/wordprocessingShape">
                    <wps:wsp>
                      <wps:cNvSpPr/>
                      <wps:spPr>
                        <a:xfrm>
                          <a:off x="0" y="0"/>
                          <a:ext cx="1303655" cy="262890"/>
                        </a:xfrm>
                        <a:prstGeom prst="wedgeRectCallout">
                          <a:avLst>
                            <a:gd name="adj1" fmla="val 36944"/>
                            <a:gd name="adj2" fmla="val 270292"/>
                          </a:avLst>
                        </a:prstGeom>
                        <a:noFill/>
                        <a:ln w="12700" cap="flat" cmpd="sng">
                          <a:solidFill>
                            <a:srgbClr val="2FC9FF"/>
                          </a:solidFill>
                          <a:prstDash val="solid"/>
                          <a:miter/>
                          <a:headEnd type="none" w="med" len="med"/>
                          <a:tailEnd type="none" w="med" len="med"/>
                        </a:ln>
                      </wps:spPr>
                      <wps:txbx>
                        <w:txbxContent>
                          <w:p>
                            <w:pPr>
                              <w:spacing w:line="240" w:lineRule="auto"/>
                              <w:ind w:firstLine="0" w:firstLineChars="0"/>
                            </w:pPr>
                            <w:r>
                              <w:rPr>
                                <w:rFonts w:hint="eastAsia" w:ascii="宋体" w:hAnsi="宋体" w:eastAsia="宋体"/>
                                <w:b/>
                                <w:sz w:val="24"/>
                              </w:rPr>
                              <w:t>大秦岭旅游景区</w:t>
                            </w:r>
                          </w:p>
                        </w:txbxContent>
                      </wps:txbx>
                      <wps:bodyPr wrap="square" upright="1"/>
                    </wps:wsp>
                  </a:graphicData>
                </a:graphic>
              </wp:anchor>
            </w:drawing>
          </mc:Choice>
          <mc:Fallback>
            <w:pict>
              <v:shape id="自选图形 3" o:spid="_x0000_s1026" o:spt="61" type="#_x0000_t61" style="position:absolute;left:0pt;margin-left:64.5pt;margin-top:27pt;height:20.7pt;width:102.65pt;z-index:251660288;mso-width-relative:page;mso-height-relative:page;" filled="f" stroked="t" coordsize="21600,21600" o:gfxdata="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Y1w9PaAAAACQEAAA8AAAAAAAAAAQAgAAAA&#10;IgAAAGRycy9kb3ducmV2LnhtbFBLAQIUABQAAAAIAIdO4kDBHfnWQgIAAHMEAAAOAAAAAAAAAAEA&#10;IAAAACkBAABkcnMvZTJvRG9jLnhtbFBLBQYAAAAABgAGAFkBAADdBQAAAAA=&#10;" adj="18780,69183">
                <v:fill on="f" focussize="0,0"/>
                <v:stroke weight="1pt" color="#2FC9FF" joinstyle="miter"/>
                <v:imagedata o:title=""/>
                <o:lock v:ext="edit" aspectratio="f"/>
                <v:textbox>
                  <w:txbxContent>
                    <w:p>
                      <w:pPr>
                        <w:spacing w:line="240" w:lineRule="auto"/>
                        <w:ind w:firstLine="0" w:firstLineChars="0"/>
                      </w:pPr>
                      <w:r>
                        <w:rPr>
                          <w:rFonts w:hint="eastAsia" w:ascii="宋体" w:hAnsi="宋体" w:eastAsia="宋体"/>
                          <w:b/>
                          <w:sz w:val="24"/>
                        </w:rPr>
                        <w:t>大秦岭旅游景区</w:t>
                      </w:r>
                    </w:p>
                  </w:txbxContent>
                </v:textbox>
              </v:shape>
            </w:pict>
          </mc:Fallback>
        </mc:AlternateContent>
      </w:r>
      <w:r>
        <w:rPr>
          <w:color w:val="auto"/>
        </w:rPr>
        <w:drawing>
          <wp:inline distT="0" distB="0" distL="114300" distR="114300">
            <wp:extent cx="5274310" cy="3303270"/>
            <wp:effectExtent l="9525" t="9525" r="12065" b="20955"/>
            <wp:docPr id="11" name="图片 2" descr="陕南旅游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陕南旅游图1"/>
                    <pic:cNvPicPr>
                      <a:picLocks noChangeAspect="1"/>
                    </pic:cNvPicPr>
                  </pic:nvPicPr>
                  <pic:blipFill>
                    <a:blip r:embed="rId21"/>
                    <a:stretch>
                      <a:fillRect/>
                    </a:stretch>
                  </pic:blipFill>
                  <pic:spPr>
                    <a:xfrm>
                      <a:off x="0" y="0"/>
                      <a:ext cx="5274310" cy="3303270"/>
                    </a:xfrm>
                    <a:prstGeom prst="rect">
                      <a:avLst/>
                    </a:prstGeom>
                    <a:noFill/>
                    <a:ln w="9525" cap="flat" cmpd="sng">
                      <a:solidFill>
                        <a:srgbClr val="F79646"/>
                      </a:solidFill>
                      <a:prstDash val="solid"/>
                      <a:miter/>
                      <a:headEnd type="none" w="med" len="med"/>
                      <a:tailEnd type="none" w="med" len="med"/>
                    </a:ln>
                  </pic:spPr>
                </pic:pic>
              </a:graphicData>
            </a:graphic>
          </wp:inline>
        </w:drawing>
      </w:r>
    </w:p>
    <w:p>
      <w:pPr>
        <w:ind w:firstLine="0" w:firstLineChars="0"/>
        <w:jc w:val="center"/>
        <w:rPr>
          <w:rFonts w:hint="eastAsia"/>
          <w:b/>
          <w:bCs/>
          <w:color w:val="auto"/>
        </w:rPr>
      </w:pPr>
      <w:r>
        <w:rPr>
          <w:rFonts w:hint="eastAsia"/>
          <w:b/>
          <w:bCs/>
          <w:color w:val="auto"/>
        </w:rPr>
        <w:t>图2  全域旅游新格局</w:t>
      </w:r>
    </w:p>
    <w:p>
      <w:pPr>
        <w:spacing w:line="610" w:lineRule="exact"/>
        <w:ind w:firstLine="640"/>
        <w:rPr>
          <w:rFonts w:hint="eastAsia" w:ascii="仿宋_GB2312" w:hAnsi="仿宋" w:eastAsia="仿宋_GB2312"/>
          <w:bCs/>
          <w:color w:val="auto"/>
          <w:kern w:val="0"/>
          <w:szCs w:val="32"/>
        </w:rPr>
      </w:pPr>
      <w:r>
        <w:rPr>
          <w:rFonts w:hint="eastAsia" w:ascii="方正黑体简体" w:hAnsi="宋体" w:eastAsia="方正黑体简体" w:cs="宋体"/>
          <w:bCs/>
          <w:color w:val="auto"/>
          <w:szCs w:val="32"/>
        </w:rPr>
        <w:t>四、构建“两横五纵”交通新格局。</w:t>
      </w:r>
      <w:r>
        <w:rPr>
          <w:rFonts w:hint="eastAsia" w:ascii="仿宋_GB2312" w:hAnsi="仿宋" w:eastAsia="仿宋_GB2312"/>
          <w:color w:val="auto"/>
          <w:kern w:val="0"/>
          <w:szCs w:val="32"/>
        </w:rPr>
        <w:t>按照内联外通的原则，完善路网布局，提升水运航道通行能力，推进支线和通用机场建设，形成连接关中，通达重庆、</w:t>
      </w:r>
      <w:r>
        <w:rPr>
          <w:rFonts w:hint="eastAsia" w:ascii="仿宋_GB2312" w:hAnsi="仿宋" w:eastAsia="仿宋_GB2312"/>
          <w:bCs/>
          <w:color w:val="auto"/>
          <w:kern w:val="0"/>
          <w:szCs w:val="32"/>
        </w:rPr>
        <w:t>成都、武汉等周边中心城市的“两横五纵”多层次立体交通新格局。</w:t>
      </w:r>
    </w:p>
    <w:p>
      <w:pPr>
        <w:spacing w:line="610" w:lineRule="exact"/>
        <w:ind w:firstLine="643"/>
        <w:rPr>
          <w:rFonts w:hint="eastAsia" w:ascii="仿宋_GB2312" w:hAnsi="仿宋" w:eastAsia="仿宋_GB2312"/>
          <w:bCs/>
          <w:color w:val="auto"/>
          <w:kern w:val="0"/>
          <w:szCs w:val="32"/>
        </w:rPr>
      </w:pPr>
      <w:r>
        <w:rPr>
          <w:rFonts w:hint="eastAsia" w:ascii="仿宋_GB2312" w:hAnsi="仿宋" w:eastAsia="仿宋_GB2312"/>
          <w:b/>
          <w:color w:val="auto"/>
          <w:kern w:val="0"/>
          <w:szCs w:val="32"/>
        </w:rPr>
        <w:t>两横：</w:t>
      </w:r>
      <w:r>
        <w:rPr>
          <w:rFonts w:hint="eastAsia" w:ascii="仿宋_GB2312" w:hAnsi="仿宋" w:eastAsia="仿宋_GB2312"/>
          <w:bCs/>
          <w:color w:val="auto"/>
          <w:kern w:val="0"/>
          <w:szCs w:val="32"/>
        </w:rPr>
        <w:t>构建联通华中与大西北、大西南的东西大通道，即由十天高速、阳安铁路、洋县-安康-白河水运通道构成的东西大通道；由沪陕、福银、包茂、京昆四条高速在陕南境内的横向连接线构成的东西大通道。</w:t>
      </w:r>
    </w:p>
    <w:p>
      <w:pPr>
        <w:spacing w:line="610" w:lineRule="exact"/>
        <w:ind w:firstLine="643"/>
        <w:rPr>
          <w:rFonts w:hint="eastAsia" w:ascii="仿宋_GB2312" w:hAnsi="仿宋" w:eastAsia="仿宋_GB2312"/>
          <w:bCs/>
          <w:color w:val="auto"/>
          <w:kern w:val="0"/>
          <w:szCs w:val="32"/>
        </w:rPr>
      </w:pPr>
      <w:r>
        <w:rPr>
          <w:rFonts w:hint="eastAsia" w:ascii="仿宋_GB2312" w:hAnsi="仿宋" w:eastAsia="仿宋_GB2312"/>
          <w:b/>
          <w:color w:val="auto"/>
          <w:kern w:val="0"/>
          <w:szCs w:val="32"/>
        </w:rPr>
        <w:t>五纵：</w:t>
      </w:r>
      <w:r>
        <w:rPr>
          <w:rFonts w:hint="eastAsia" w:ascii="仿宋_GB2312" w:hAnsi="仿宋" w:eastAsia="仿宋_GB2312"/>
          <w:bCs/>
          <w:color w:val="auto"/>
          <w:kern w:val="0"/>
          <w:szCs w:val="32"/>
        </w:rPr>
        <w:t>构建联通长江经济带和丝绸之路经济带的南北大通道，即由银昆高速和黄陵-汉中-南充快速铁路构成的宝鸡-汉中-陕川界南北大通道；由西安-成都客运专线、京昆高速、西安-汉中空中航线构成的西安-汉中-成都南北大通道；由西安-武汉客运专线、福银高速形成的西安-商洛-武汉南北大通道；由包茂高速、包头-海口快速铁路、平利-镇坪高速、安康-岚皋高速构成的西安-安康-重庆南北大通道；由沪陕高速构成的西安-商洛-</w:t>
      </w:r>
      <w:r>
        <w:rPr>
          <w:rFonts w:hint="eastAsia" w:ascii="仿宋_GB2312" w:hAnsi="仿宋" w:eastAsia="仿宋_GB2312"/>
          <w:bCs/>
          <w:color w:val="auto"/>
          <w:kern w:val="0"/>
          <w:szCs w:val="32"/>
          <w:lang w:eastAsia="zh-CN"/>
        </w:rPr>
        <w:t>合肥</w:t>
      </w:r>
      <w:r>
        <w:rPr>
          <w:rFonts w:hint="eastAsia" w:ascii="仿宋_GB2312" w:hAnsi="仿宋" w:eastAsia="仿宋_GB2312"/>
          <w:bCs/>
          <w:color w:val="auto"/>
          <w:kern w:val="0"/>
          <w:szCs w:val="32"/>
        </w:rPr>
        <w:t>南北大通道。</w:t>
      </w:r>
    </w:p>
    <w:p>
      <w:pPr>
        <w:ind w:firstLine="0" w:firstLineChars="0"/>
        <w:jc w:val="center"/>
        <w:rPr>
          <w:rFonts w:hint="eastAsia"/>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507365</wp:posOffset>
                </wp:positionH>
                <wp:positionV relativeFrom="paragraph">
                  <wp:posOffset>3094990</wp:posOffset>
                </wp:positionV>
                <wp:extent cx="1190625" cy="1163320"/>
                <wp:effectExtent l="4445" t="4445" r="5080" b="13335"/>
                <wp:wrapNone/>
                <wp:docPr id="1" name="文本框 11"/>
                <wp:cNvGraphicFramePr/>
                <a:graphic xmlns:a="http://schemas.openxmlformats.org/drawingml/2006/main">
                  <a:graphicData uri="http://schemas.microsoft.com/office/word/2010/wordprocessingShape">
                    <wps:wsp>
                      <wps:cNvSpPr txBox="1"/>
                      <wps:spPr>
                        <a:xfrm>
                          <a:off x="0" y="0"/>
                          <a:ext cx="1190625" cy="1163320"/>
                        </a:xfrm>
                        <a:prstGeom prst="rect">
                          <a:avLst/>
                        </a:prstGeom>
                        <a:noFill/>
                        <a:ln w="9525" cap="flat" cmpd="sng">
                          <a:solidFill>
                            <a:srgbClr val="000000"/>
                          </a:solidFill>
                          <a:prstDash val="solid"/>
                          <a:miter/>
                          <a:headEnd type="none" w="med" len="med"/>
                          <a:tailEnd type="none" w="med" len="med"/>
                        </a:ln>
                      </wps:spPr>
                      <wps:txbx>
                        <w:txbxContent>
                          <w:p>
                            <w:pPr>
                              <w:ind w:firstLine="640"/>
                            </w:pPr>
                          </w:p>
                        </w:txbxContent>
                      </wps:txbx>
                      <wps:bodyPr wrap="square" upright="1"/>
                    </wps:wsp>
                  </a:graphicData>
                </a:graphic>
              </wp:anchor>
            </w:drawing>
          </mc:Choice>
          <mc:Fallback>
            <w:pict>
              <v:shape id="文本框 11" o:spid="_x0000_s1026" o:spt="202" type="#_x0000_t202" style="position:absolute;left:0pt;margin-left:39.95pt;margin-top:243.7pt;height:91.6pt;width:93.75pt;z-index:251659264;mso-width-relative:page;mso-height-relative:page;" filled="f" stroked="t" coordsize="21600,21600" o:gfxdata="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1AfQLXAAAACgEAAA8AAAAAAAAAAQAg&#10;AAAAIgAAAGRycy9kb3ducmV2LnhtbFBLAQIUABQAAAAIAIdO4kDuxjHfDwIAAB0EAAAOAAAAAAAA&#10;AAEAIAAAACYBAABkcnMvZTJvRG9jLnhtbFBLBQYAAAAABgAGAFkBAACnBQAAAAA=&#10;">
                <v:fill on="f" focussize="0,0"/>
                <v:stroke color="#000000" joinstyle="miter"/>
                <v:imagedata o:title=""/>
                <o:lock v:ext="edit" aspectratio="f"/>
                <v:textbox>
                  <w:txbxContent>
                    <w:p>
                      <w:pPr>
                        <w:ind w:firstLine="640"/>
                      </w:pPr>
                    </w:p>
                  </w:txbxContent>
                </v:textbox>
              </v:shape>
            </w:pict>
          </mc:Fallback>
        </mc:AlternateContent>
      </w:r>
      <w:r>
        <w:rPr>
          <w:rFonts w:hint="eastAsia"/>
          <w:color w:val="auto"/>
        </w:rPr>
        <w:drawing>
          <wp:inline distT="0" distB="0" distL="114300" distR="114300">
            <wp:extent cx="5478780" cy="4363720"/>
            <wp:effectExtent l="9525" t="9525" r="17145" b="27305"/>
            <wp:docPr id="12" name="图片 6" descr="陕南交通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陕南交通图1"/>
                    <pic:cNvPicPr>
                      <a:picLocks noChangeAspect="1"/>
                    </pic:cNvPicPr>
                  </pic:nvPicPr>
                  <pic:blipFill>
                    <a:blip r:embed="rId22"/>
                    <a:stretch>
                      <a:fillRect/>
                    </a:stretch>
                  </pic:blipFill>
                  <pic:spPr>
                    <a:xfrm>
                      <a:off x="0" y="0"/>
                      <a:ext cx="5478780" cy="4363720"/>
                    </a:xfrm>
                    <a:prstGeom prst="rect">
                      <a:avLst/>
                    </a:prstGeom>
                    <a:noFill/>
                    <a:ln w="9525" cap="flat" cmpd="sng">
                      <a:solidFill>
                        <a:srgbClr val="E46C0A"/>
                      </a:solidFill>
                      <a:prstDash val="solid"/>
                      <a:miter/>
                      <a:headEnd type="none" w="med" len="med"/>
                      <a:tailEnd type="none" w="med" len="med"/>
                    </a:ln>
                  </pic:spPr>
                </pic:pic>
              </a:graphicData>
            </a:graphic>
          </wp:inline>
        </w:drawing>
      </w:r>
    </w:p>
    <w:p>
      <w:pPr>
        <w:ind w:firstLine="0" w:firstLineChars="0"/>
        <w:jc w:val="center"/>
        <w:rPr>
          <w:rFonts w:hint="eastAsia"/>
          <w:b/>
          <w:bCs/>
          <w:color w:val="auto"/>
        </w:rPr>
      </w:pPr>
      <w:r>
        <w:rPr>
          <w:rFonts w:hint="eastAsia"/>
          <w:b/>
          <w:bCs/>
          <w:color w:val="auto"/>
        </w:rPr>
        <w:t>图3  内联外通交通新格局</w:t>
      </w:r>
    </w:p>
    <w:p>
      <w:pPr>
        <w:pStyle w:val="2"/>
        <w:keepNext w:val="0"/>
        <w:keepLines w:val="0"/>
        <w:spacing w:before="312" w:beforeLines="100" w:after="312" w:afterLines="100" w:line="620" w:lineRule="exact"/>
        <w:jc w:val="center"/>
        <w:rPr>
          <w:rFonts w:hint="eastAsia" w:ascii="方正大标宋简体" w:hAnsi="黑体" w:eastAsia="方正大标宋简体" w:cs="黑体"/>
          <w:color w:val="auto"/>
        </w:rPr>
      </w:pPr>
      <w:bookmarkStart w:id="86" w:name="_Toc6061"/>
      <w:r>
        <w:rPr>
          <w:rFonts w:hint="eastAsia" w:ascii="方正大标宋简体" w:hAnsi="黑体" w:eastAsia="方正大标宋简体" w:cs="黑体"/>
          <w:color w:val="auto"/>
        </w:rPr>
        <w:t>第三章  全面深化改革，实现创新发展</w:t>
      </w:r>
      <w:bookmarkEnd w:id="86"/>
    </w:p>
    <w:p>
      <w:pPr>
        <w:spacing w:line="620" w:lineRule="exact"/>
        <w:ind w:firstLine="640"/>
        <w:rPr>
          <w:rFonts w:hint="eastAsia" w:eastAsia="仿宋_GB2312"/>
          <w:color w:val="auto"/>
          <w:szCs w:val="32"/>
        </w:rPr>
      </w:pPr>
      <w:bookmarkStart w:id="87" w:name="_Toc419723768"/>
      <w:r>
        <w:rPr>
          <w:rFonts w:hint="eastAsia" w:eastAsia="仿宋_GB2312"/>
          <w:color w:val="auto"/>
          <w:szCs w:val="32"/>
        </w:rPr>
        <w:t>抓住新一轮科技革命和产业变革重大机遇，深化重点领域和关键环节改革，全面实施创新驱动发展战略和“互联网+</w:t>
      </w:r>
      <w:r>
        <w:rPr>
          <w:rFonts w:eastAsia="仿宋_GB2312"/>
          <w:color w:val="auto"/>
          <w:szCs w:val="32"/>
        </w:rPr>
        <w:t>”</w:t>
      </w:r>
      <w:r>
        <w:rPr>
          <w:rFonts w:hint="eastAsia" w:eastAsia="仿宋_GB2312"/>
          <w:color w:val="auto"/>
          <w:szCs w:val="32"/>
        </w:rPr>
        <w:t>行动计划，加速释放新需求，努力创造新供给，推动大众创业、万众创新，激发绿色循环发展新动力。</w:t>
      </w:r>
    </w:p>
    <w:bookmarkEnd w:id="87"/>
    <w:p>
      <w:pPr>
        <w:pStyle w:val="3"/>
        <w:keepNext w:val="0"/>
        <w:keepLines w:val="0"/>
        <w:spacing w:before="156" w:beforeLines="50" w:after="156" w:afterLines="50" w:line="620" w:lineRule="exact"/>
        <w:rPr>
          <w:rFonts w:hint="eastAsia" w:ascii="黑体" w:hAnsi="黑体" w:eastAsia="黑体" w:cs="宋体"/>
          <w:b w:val="0"/>
          <w:color w:val="auto"/>
        </w:rPr>
      </w:pPr>
      <w:bookmarkStart w:id="88" w:name="_Toc29505"/>
      <w:r>
        <w:rPr>
          <w:rFonts w:hint="eastAsia" w:ascii="黑体" w:hAnsi="黑体" w:eastAsia="黑体" w:cs="宋体"/>
          <w:b w:val="0"/>
          <w:color w:val="auto"/>
        </w:rPr>
        <w:t>第一节  深化重点领域改革</w:t>
      </w:r>
      <w:bookmarkEnd w:id="88"/>
    </w:p>
    <w:p>
      <w:pPr>
        <w:spacing w:line="620" w:lineRule="exact"/>
        <w:ind w:firstLine="640"/>
        <w:rPr>
          <w:rFonts w:hint="eastAsia" w:ascii="宋体" w:hAnsi="宋体"/>
          <w:color w:val="auto"/>
          <w:szCs w:val="21"/>
        </w:rPr>
      </w:pPr>
      <w:r>
        <w:rPr>
          <w:rFonts w:hint="eastAsia" w:ascii="仿宋_GB2312" w:hAnsi="仿宋" w:eastAsia="仿宋_GB2312"/>
          <w:color w:val="auto"/>
          <w:kern w:val="0"/>
          <w:szCs w:val="32"/>
        </w:rPr>
        <w:t>鼓励陕南地区通过深化改革激发动力活力，增强自我发展能力，推动全面振兴、跨越发展。深化行政管理体制改革，加快转变政府职能，进一步简政放权，取消和下放一批行政审批事项，深化提升扩权强县改革，赋予县级更大发展自主权，开展扩权强镇试点，支持有条件的县开展县域经济综合改革试点。支持开展经济社会发展、城乡、土地利用、生态环境保护等规划“多规合一”试点。深化财税体制改革，加强县乡镇基本财力保障，因地制宜推进撤县设区、改县设市。深化投融资体制改革，大力推广PPP模式，鼓励社会资本采取特许经营方式进入基础设施和公用事业领域。推进农村集体产权制度改革，探索赋予农民对集体资产股份占有、受益、有偿退出及抵押、担保、继承权。</w:t>
      </w:r>
      <w:r>
        <w:rPr>
          <w:rFonts w:hint="eastAsia" w:ascii="宋体" w:hAnsi="宋体"/>
          <w:color w:val="auto"/>
          <w:szCs w:val="21"/>
        </w:rPr>
        <w:t>积极探索农村土地征收、集体经营性建设用地入市、宅基地制度改革</w:t>
      </w:r>
      <w:r>
        <w:rPr>
          <w:rFonts w:hint="eastAsia" w:ascii="仿宋_GB2312" w:hAnsi="仿宋" w:eastAsia="仿宋_GB2312"/>
          <w:color w:val="auto"/>
          <w:kern w:val="0"/>
          <w:szCs w:val="32"/>
        </w:rPr>
        <w:t>。</w:t>
      </w:r>
      <w:r>
        <w:rPr>
          <w:rFonts w:hint="eastAsia" w:ascii="宋体" w:hAnsi="宋体"/>
          <w:color w:val="auto"/>
          <w:szCs w:val="21"/>
        </w:rPr>
        <w:t>加大供给侧改革，在适度扩大总需求的同时，去产能、去库存、去杠杆、降成本、补短板，提高供给体系质量和效益。</w:t>
      </w:r>
    </w:p>
    <w:p>
      <w:pPr>
        <w:pStyle w:val="3"/>
        <w:keepNext w:val="0"/>
        <w:keepLines w:val="0"/>
        <w:spacing w:before="156" w:beforeLines="50" w:after="156" w:afterLines="50" w:line="620" w:lineRule="exact"/>
        <w:rPr>
          <w:rFonts w:hint="eastAsia" w:ascii="黑体" w:hAnsi="黑体" w:eastAsia="黑体" w:cs="宋体"/>
          <w:b w:val="0"/>
          <w:color w:val="auto"/>
        </w:rPr>
      </w:pPr>
      <w:bookmarkStart w:id="89" w:name="_Toc4476"/>
      <w:r>
        <w:rPr>
          <w:rFonts w:hint="eastAsia" w:ascii="黑体" w:hAnsi="黑体" w:eastAsia="黑体" w:cs="宋体"/>
          <w:b w:val="0"/>
          <w:color w:val="auto"/>
        </w:rPr>
        <w:t>第二节  实施创新驱动战略</w:t>
      </w:r>
      <w:bookmarkEnd w:id="89"/>
    </w:p>
    <w:p>
      <w:pPr>
        <w:spacing w:line="620" w:lineRule="exact"/>
        <w:ind w:firstLine="643"/>
        <w:rPr>
          <w:rFonts w:hint="eastAsia" w:eastAsia="仿宋_GB2312"/>
          <w:color w:val="auto"/>
          <w:szCs w:val="32"/>
        </w:rPr>
      </w:pPr>
      <w:r>
        <w:rPr>
          <w:rFonts w:hint="eastAsia" w:eastAsia="仿宋_GB2312"/>
          <w:b/>
          <w:color w:val="auto"/>
          <w:szCs w:val="32"/>
        </w:rPr>
        <w:t>推进大众创业万众创新。</w:t>
      </w:r>
      <w:r>
        <w:rPr>
          <w:rFonts w:eastAsia="仿宋_GB2312"/>
          <w:color w:val="auto"/>
          <w:szCs w:val="32"/>
        </w:rPr>
        <w:t>培育全民创业精神，优化创业环境。整合政府科技资金，创新财政投入方式，引导社会资本参与科技研发，鼓励企业加大技术创新投入，支持企业向科技服务机构购买创新成果和服务。</w:t>
      </w:r>
      <w:r>
        <w:rPr>
          <w:rFonts w:eastAsia="仿宋_GB2312"/>
          <w:color w:val="auto"/>
          <w:szCs w:val="32"/>
          <w:lang w:bidi="ar"/>
        </w:rPr>
        <w:t>推荐认定一批省、市级综合性创业孵化示范基地，</w:t>
      </w:r>
      <w:r>
        <w:rPr>
          <w:rFonts w:eastAsia="仿宋_GB2312"/>
          <w:color w:val="auto"/>
          <w:szCs w:val="32"/>
        </w:rPr>
        <w:t>建立网络电商创业园和小微企业孵化园，鼓励企业和个人入园创业。</w:t>
      </w:r>
      <w:r>
        <w:rPr>
          <w:rFonts w:eastAsia="仿宋_GB2312"/>
          <w:color w:val="auto"/>
          <w:szCs w:val="32"/>
          <w:lang w:bidi="ar"/>
        </w:rPr>
        <w:t>建立面向大众的创业服务平台，广泛为创业者提供技能培训、小额贷款、天使基金、创业咨询、工商注册、网上申报纳税等“一站式”创业服务。</w:t>
      </w:r>
      <w:r>
        <w:rPr>
          <w:rFonts w:eastAsia="仿宋_GB2312"/>
          <w:color w:val="auto"/>
          <w:szCs w:val="32"/>
        </w:rPr>
        <w:t>打造一批创客空间和创新工场，培育发展“众创空间”，通过举办创客活动和创新大赛，激发市民创新活力和创造潜能，营造宽松准入、公平竞争的大众创业万众创新的发展环境。</w:t>
      </w:r>
    </w:p>
    <w:p>
      <w:pPr>
        <w:spacing w:line="620" w:lineRule="exact"/>
        <w:ind w:firstLine="627"/>
        <w:rPr>
          <w:rFonts w:hint="eastAsia" w:ascii="仿宋_GB2312" w:eastAsia="仿宋_GB2312"/>
          <w:color w:val="auto"/>
          <w:spacing w:val="-4"/>
          <w:szCs w:val="32"/>
        </w:rPr>
      </w:pPr>
      <w:r>
        <w:rPr>
          <w:rFonts w:hint="eastAsia" w:eastAsia="仿宋_GB2312"/>
          <w:b/>
          <w:color w:val="auto"/>
          <w:spacing w:val="-4"/>
          <w:szCs w:val="32"/>
        </w:rPr>
        <w:t>培育创新型人才队伍。</w:t>
      </w:r>
      <w:r>
        <w:rPr>
          <w:rFonts w:hint="eastAsia" w:eastAsia="仿宋_GB2312"/>
          <w:b w:val="0"/>
          <w:bCs/>
          <w:color w:val="auto"/>
          <w:spacing w:val="-4"/>
          <w:szCs w:val="32"/>
          <w:lang w:eastAsia="zh-CN"/>
        </w:rPr>
        <w:t>完善人才流动机制</w:t>
      </w:r>
      <w:r>
        <w:rPr>
          <w:rFonts w:hint="eastAsia" w:ascii="仿宋_GB2312" w:hAnsi="仿宋" w:eastAsia="仿宋_GB2312"/>
          <w:bCs/>
          <w:color w:val="auto"/>
          <w:spacing w:val="-4"/>
          <w:szCs w:val="32"/>
        </w:rPr>
        <w:t>，</w:t>
      </w:r>
      <w:r>
        <w:rPr>
          <w:rFonts w:hint="eastAsia" w:ascii="仿宋_GB2312" w:eastAsia="仿宋_GB2312"/>
          <w:color w:val="auto"/>
          <w:spacing w:val="-4"/>
          <w:szCs w:val="32"/>
        </w:rPr>
        <w:t>创新人才培养模式，</w:t>
      </w:r>
      <w:r>
        <w:rPr>
          <w:rFonts w:hint="eastAsia" w:ascii="仿宋_GB2312" w:hAnsi="仿宋" w:eastAsia="仿宋_GB2312"/>
          <w:bCs/>
          <w:color w:val="auto"/>
          <w:spacing w:val="-4"/>
          <w:szCs w:val="32"/>
        </w:rPr>
        <w:t>优化人力资本配置，清除人才流动障碍。进一步完善人才培养</w:t>
      </w:r>
      <w:r>
        <w:rPr>
          <w:rFonts w:hint="eastAsia" w:ascii="仿宋_GB2312" w:eastAsia="仿宋_GB2312"/>
          <w:color w:val="auto"/>
          <w:spacing w:val="-4"/>
          <w:szCs w:val="32"/>
        </w:rPr>
        <w:t>引进和激励保障机制，加快培养创新型人才、高层次创业人才和技能型人才。积极推进技术人才对口支援和振兴计划等人才支持项目，健全有利于人才向基层流动的政策体系。配合做好全省“三五人才工程”、政府特殊津贴、国家“百千万人才工程”等项目的实施工作。积极推进高校、科研院所合作，共建政产学研基地，借脑、借智推进陕南发展。</w:t>
      </w:r>
    </w:p>
    <w:p>
      <w:pPr>
        <w:spacing w:line="620" w:lineRule="exact"/>
        <w:ind w:firstLine="643"/>
        <w:rPr>
          <w:rFonts w:hint="eastAsia" w:ascii="仿宋_GB2312" w:eastAsia="仿宋_GB2312"/>
          <w:color w:val="auto"/>
          <w:szCs w:val="32"/>
        </w:rPr>
      </w:pPr>
      <w:r>
        <w:rPr>
          <w:rFonts w:hint="eastAsia" w:eastAsia="仿宋_GB2312"/>
          <w:b/>
          <w:color w:val="auto"/>
          <w:szCs w:val="32"/>
          <w:lang w:eastAsia="zh-CN"/>
        </w:rPr>
        <w:t>实施</w:t>
      </w:r>
      <w:r>
        <w:rPr>
          <w:rFonts w:hint="eastAsia" w:eastAsia="仿宋_GB2312"/>
          <w:b/>
          <w:color w:val="auto"/>
          <w:szCs w:val="32"/>
        </w:rPr>
        <w:t>质量和品牌</w:t>
      </w:r>
      <w:r>
        <w:rPr>
          <w:rFonts w:hint="eastAsia" w:eastAsia="仿宋_GB2312"/>
          <w:b/>
          <w:color w:val="auto"/>
          <w:szCs w:val="32"/>
          <w:lang w:eastAsia="zh-CN"/>
        </w:rPr>
        <w:t>提升工程</w:t>
      </w:r>
      <w:r>
        <w:rPr>
          <w:rFonts w:hint="eastAsia" w:eastAsia="仿宋_GB2312"/>
          <w:b/>
          <w:color w:val="auto"/>
          <w:szCs w:val="32"/>
        </w:rPr>
        <w:t>。</w:t>
      </w:r>
      <w:r>
        <w:rPr>
          <w:rFonts w:hint="eastAsia" w:ascii="仿宋_GB2312" w:eastAsia="仿宋_GB2312"/>
          <w:color w:val="auto"/>
          <w:szCs w:val="32"/>
        </w:rPr>
        <w:t>树立质量优先理念，强化企业主体地位，培育品牌产品、品牌企业，打造汉中、安康、商洛著名品牌</w:t>
      </w:r>
      <w:r>
        <w:rPr>
          <w:rFonts w:hint="eastAsia" w:ascii="仿宋_GB2312" w:hAnsi="仿宋_GB2312" w:eastAsia="仿宋_GB2312" w:cs="仿宋_GB2312"/>
          <w:color w:val="auto"/>
          <w:szCs w:val="32"/>
        </w:rPr>
        <w:t>，实现产品溢价效应</w:t>
      </w:r>
      <w:r>
        <w:rPr>
          <w:rFonts w:hint="eastAsia" w:ascii="仿宋_GB2312" w:eastAsia="仿宋_GB2312"/>
          <w:color w:val="auto"/>
          <w:szCs w:val="32"/>
        </w:rPr>
        <w:t>。加快实施与国内先进水平接轨的制造业质量、安全、卫生、环保及节能标准，提高应对全球技术标准竞争能力。完善检验检测技术保障体系，建设一批高标准的工业产品质量控制和技术评价实验室、产品质量监督检验中心。到2020年</w:t>
      </w:r>
      <w:r>
        <w:rPr>
          <w:rFonts w:hint="eastAsia" w:ascii="仿宋_GB2312" w:eastAsia="仿宋_GB2312"/>
          <w:color w:val="auto"/>
          <w:szCs w:val="32"/>
          <w:lang w:eastAsia="zh-CN"/>
        </w:rPr>
        <w:t>，三市</w:t>
      </w:r>
      <w:r>
        <w:rPr>
          <w:rFonts w:hint="eastAsia" w:ascii="仿宋_GB2312" w:eastAsia="仿宋_GB2312"/>
          <w:color w:val="auto"/>
          <w:szCs w:val="32"/>
        </w:rPr>
        <w:t>质量</w:t>
      </w:r>
      <w:r>
        <w:rPr>
          <w:rFonts w:hint="eastAsia" w:ascii="仿宋_GB2312" w:eastAsia="仿宋_GB2312"/>
          <w:color w:val="auto"/>
          <w:szCs w:val="32"/>
          <w:lang w:eastAsia="zh-CN"/>
        </w:rPr>
        <w:t>品牌建设</w:t>
      </w:r>
      <w:r>
        <w:rPr>
          <w:rFonts w:hint="eastAsia" w:ascii="仿宋_GB2312" w:eastAsia="仿宋_GB2312"/>
          <w:color w:val="auto"/>
          <w:szCs w:val="32"/>
        </w:rPr>
        <w:t>取得明显成效，进入中国驰名商标和著名品牌数量大幅提升。</w:t>
      </w:r>
    </w:p>
    <w:p>
      <w:pPr>
        <w:spacing w:line="620" w:lineRule="exact"/>
        <w:ind w:firstLine="643"/>
        <w:rPr>
          <w:rFonts w:hint="eastAsia" w:eastAsia="仿宋_GB2312"/>
          <w:snapToGrid w:val="0"/>
          <w:color w:val="auto"/>
          <w:kern w:val="0"/>
          <w:szCs w:val="32"/>
        </w:rPr>
      </w:pPr>
      <w:r>
        <w:rPr>
          <w:rFonts w:hint="eastAsia" w:eastAsia="仿宋_GB2312"/>
          <w:b/>
          <w:color w:val="auto"/>
          <w:szCs w:val="32"/>
        </w:rPr>
        <w:t>着力构建协同创新体系。</w:t>
      </w:r>
      <w:r>
        <w:rPr>
          <w:rFonts w:hint="eastAsia" w:eastAsia="仿宋_GB2312"/>
          <w:snapToGrid w:val="0"/>
          <w:color w:val="auto"/>
          <w:kern w:val="0"/>
          <w:szCs w:val="32"/>
        </w:rPr>
        <w:t>打破创新主体间的体制壁垒，加强各类创新基地、平台、团队的协同联动，促进技术、资本、信息、人才等创新要素优化配置和有效整合。推动企业、高校、科研院所、中介机构等建立产业技术创新战略联盟。依托安康国家高新区、汉中航空智慧新城、汉中国家级经济开发区，与省内外其它国家高新区、经开区、高技术产业基地深度合作，提升创新驱动能力和效率。</w:t>
      </w:r>
      <w:r>
        <w:rPr>
          <w:rFonts w:hint="eastAsia" w:ascii="仿宋_GB2312" w:hAnsi="仿宋" w:eastAsia="仿宋_GB2312"/>
          <w:color w:val="auto"/>
          <w:kern w:val="0"/>
          <w:szCs w:val="32"/>
        </w:rPr>
        <w:t>支持</w:t>
      </w:r>
      <w:r>
        <w:rPr>
          <w:rFonts w:hint="eastAsia" w:ascii="宋体" w:hAnsi="宋体"/>
          <w:color w:val="auto"/>
          <w:szCs w:val="21"/>
        </w:rPr>
        <w:t>陕南地方特色产业的技术攻关、科技研发、成果转化和推广等。</w:t>
      </w:r>
      <w:r>
        <w:rPr>
          <w:rFonts w:hint="eastAsia" w:eastAsia="仿宋_GB2312"/>
          <w:snapToGrid w:val="0"/>
          <w:color w:val="auto"/>
          <w:kern w:val="0"/>
          <w:szCs w:val="32"/>
        </w:rPr>
        <w:t>积极搭建合作平台，开展高水平的技术和产业合作交流，加快融入创新网络。</w:t>
      </w:r>
    </w:p>
    <w:p>
      <w:pPr>
        <w:pStyle w:val="3"/>
        <w:keepNext w:val="0"/>
        <w:keepLines w:val="0"/>
        <w:spacing w:before="156" w:beforeLines="50" w:after="156" w:afterLines="50" w:line="620" w:lineRule="exact"/>
        <w:rPr>
          <w:rFonts w:hint="eastAsia" w:ascii="黑体" w:hAnsi="黑体" w:eastAsia="黑体" w:cs="宋体"/>
          <w:b w:val="0"/>
          <w:color w:val="auto"/>
        </w:rPr>
      </w:pPr>
      <w:bookmarkStart w:id="90" w:name="_Toc413943957"/>
      <w:bookmarkEnd w:id="90"/>
      <w:bookmarkStart w:id="91" w:name="_Toc25047"/>
      <w:bookmarkStart w:id="92" w:name="_Toc30943"/>
      <w:r>
        <w:rPr>
          <w:rFonts w:hint="eastAsia" w:ascii="黑体" w:hAnsi="黑体" w:eastAsia="黑体" w:cs="宋体"/>
          <w:b w:val="0"/>
          <w:color w:val="auto"/>
        </w:rPr>
        <w:t>第三节  推进“互联网+”行动计划</w:t>
      </w:r>
      <w:bookmarkEnd w:id="91"/>
      <w:bookmarkEnd w:id="92"/>
    </w:p>
    <w:p>
      <w:pPr>
        <w:spacing w:line="620" w:lineRule="exact"/>
        <w:ind w:firstLine="640"/>
        <w:rPr>
          <w:rFonts w:hint="eastAsia" w:ascii="仿宋_GB2312" w:hAnsi="宋体" w:eastAsia="仿宋_GB2312"/>
          <w:color w:val="auto"/>
          <w:szCs w:val="32"/>
        </w:rPr>
      </w:pPr>
      <w:r>
        <w:rPr>
          <w:rFonts w:hint="eastAsia" w:ascii="仿宋_GB2312" w:hAnsi="宋体" w:eastAsia="仿宋_GB2312"/>
          <w:color w:val="auto"/>
          <w:szCs w:val="32"/>
        </w:rPr>
        <w:t>充分发挥互联网在生产要素配置中的聚集优化和协同共享作用，深化互联网在制造、能源、农业、食品、旅游、商贸、物流、金融等领域的应用，不断提升实体经济创新力。</w:t>
      </w:r>
    </w:p>
    <w:p>
      <w:pPr>
        <w:spacing w:line="620" w:lineRule="exact"/>
        <w:ind w:firstLine="643"/>
        <w:rPr>
          <w:rFonts w:hint="eastAsia" w:ascii="仿宋_GB2312" w:eastAsia="仿宋_GB2312"/>
          <w:color w:val="auto"/>
        </w:rPr>
      </w:pPr>
      <w:r>
        <w:rPr>
          <w:rFonts w:hint="eastAsia" w:ascii="仿宋_GB2312" w:eastAsia="仿宋_GB2312"/>
          <w:b/>
          <w:bCs/>
          <w:color w:val="auto"/>
        </w:rPr>
        <w:t>“互联网+”制造。</w:t>
      </w:r>
      <w:r>
        <w:rPr>
          <w:rFonts w:hint="eastAsia" w:ascii="仿宋_GB2312" w:eastAsia="仿宋_GB2312"/>
          <w:color w:val="auto"/>
        </w:rPr>
        <w:t>面向汽车、机床、装备等领域，加快发展众包设计研发、大规模个性化定制、网格化协同制造。</w:t>
      </w:r>
    </w:p>
    <w:p>
      <w:pPr>
        <w:spacing w:line="620" w:lineRule="exact"/>
        <w:ind w:firstLine="643"/>
        <w:rPr>
          <w:rFonts w:hint="eastAsia" w:ascii="仿宋_GB2312" w:eastAsia="仿宋_GB2312"/>
          <w:color w:val="auto"/>
        </w:rPr>
      </w:pPr>
      <w:r>
        <w:rPr>
          <w:rFonts w:hint="eastAsia" w:ascii="仿宋_GB2312" w:eastAsia="仿宋_GB2312"/>
          <w:b/>
          <w:bCs/>
          <w:color w:val="auto"/>
        </w:rPr>
        <w:t>“互联网+”能源。</w:t>
      </w:r>
      <w:r>
        <w:rPr>
          <w:rFonts w:hint="eastAsia" w:ascii="仿宋_GB2312" w:eastAsia="仿宋_GB2312"/>
          <w:color w:val="auto"/>
        </w:rPr>
        <w:t>加快能源行业的数字化建设，建立能源生产运行监测、管理和调度信息公共服务网络，促进能源行业上下游企业对接和生产消费智能化。</w:t>
      </w:r>
    </w:p>
    <w:p>
      <w:pPr>
        <w:spacing w:line="620" w:lineRule="exact"/>
        <w:ind w:firstLine="643"/>
        <w:rPr>
          <w:rFonts w:hint="eastAsia" w:ascii="仿宋_GB2312" w:eastAsia="仿宋_GB2312"/>
          <w:color w:val="auto"/>
        </w:rPr>
      </w:pPr>
      <w:r>
        <w:rPr>
          <w:rFonts w:hint="eastAsia" w:ascii="仿宋_GB2312" w:eastAsia="仿宋_GB2312"/>
          <w:b/>
          <w:bCs/>
          <w:color w:val="auto"/>
        </w:rPr>
        <w:t>“互联网+”农业。</w:t>
      </w:r>
      <w:r>
        <w:rPr>
          <w:rFonts w:hint="eastAsia" w:ascii="仿宋_GB2312" w:eastAsia="仿宋_GB2312"/>
          <w:color w:val="auto"/>
        </w:rPr>
        <w:t>加快建设安全农产品、农资等消费和采购平台，促进产销衔接，推广可复制的农业物联网应用模式，发展精准化生产方式。</w:t>
      </w:r>
    </w:p>
    <w:p>
      <w:pPr>
        <w:spacing w:line="620" w:lineRule="exact"/>
        <w:ind w:firstLine="618"/>
        <w:rPr>
          <w:rFonts w:hint="eastAsia" w:ascii="仿宋_GB2312" w:hAnsi="宋体" w:eastAsia="仿宋_GB2312"/>
          <w:color w:val="auto"/>
          <w:spacing w:val="-6"/>
          <w:szCs w:val="32"/>
        </w:rPr>
      </w:pPr>
      <w:r>
        <w:rPr>
          <w:rFonts w:hint="eastAsia" w:ascii="楷体_GB2312" w:hAnsi="楷体_GB2312" w:eastAsia="楷体_GB2312" w:cs="楷体_GB2312"/>
          <w:b/>
          <w:bCs/>
          <w:color w:val="auto"/>
          <w:spacing w:val="-6"/>
          <w:szCs w:val="32"/>
        </w:rPr>
        <w:t>“互联网+”旅游。</w:t>
      </w:r>
      <w:r>
        <w:rPr>
          <w:rFonts w:hint="eastAsia" w:ascii="仿宋_GB2312" w:eastAsia="仿宋_GB2312"/>
          <w:color w:val="auto"/>
          <w:spacing w:val="-6"/>
        </w:rPr>
        <w:t>加快“智慧旅游”建设步伐，</w:t>
      </w:r>
      <w:r>
        <w:rPr>
          <w:rFonts w:hint="eastAsia" w:ascii="仿宋_GB2312" w:hAnsi="宋体" w:eastAsia="仿宋_GB2312"/>
          <w:color w:val="auto"/>
          <w:spacing w:val="-6"/>
          <w:szCs w:val="32"/>
        </w:rPr>
        <w:t>打造在线旅游企业第三方支付平台，积极推动在线旅游平台企业的发展壮大，</w:t>
      </w:r>
      <w:r>
        <w:rPr>
          <w:rFonts w:hint="eastAsia" w:ascii="仿宋_GB2312" w:eastAsia="仿宋_GB2312"/>
          <w:color w:val="auto"/>
          <w:spacing w:val="-6"/>
          <w:szCs w:val="21"/>
        </w:rPr>
        <w:t>推动旅游在线、网络营销、网上发布等信息服务。</w:t>
      </w:r>
    </w:p>
    <w:p>
      <w:pPr>
        <w:spacing w:line="620" w:lineRule="exact"/>
        <w:ind w:firstLine="643"/>
        <w:rPr>
          <w:rFonts w:hint="eastAsia" w:ascii="仿宋_GB2312" w:eastAsia="仿宋_GB2312"/>
          <w:color w:val="auto"/>
        </w:rPr>
      </w:pPr>
      <w:r>
        <w:rPr>
          <w:rFonts w:hint="eastAsia" w:ascii="仿宋_GB2312" w:eastAsia="仿宋_GB2312"/>
          <w:b/>
          <w:bCs/>
          <w:color w:val="auto"/>
        </w:rPr>
        <w:t>“互联网+”商贸。</w:t>
      </w:r>
      <w:r>
        <w:rPr>
          <w:rFonts w:hint="eastAsia" w:ascii="仿宋_GB2312" w:eastAsia="仿宋_GB2312"/>
          <w:color w:val="auto"/>
        </w:rPr>
        <w:t>加快商务贸易和大宗商品交易平台建设，推进文化、旅游、医疗保障、教育等特色行业电子商务发展。</w:t>
      </w:r>
    </w:p>
    <w:p>
      <w:pPr>
        <w:spacing w:line="620" w:lineRule="exact"/>
        <w:ind w:firstLine="643"/>
        <w:rPr>
          <w:rFonts w:hint="eastAsia" w:ascii="仿宋_GB2312" w:eastAsia="仿宋_GB2312"/>
          <w:color w:val="auto"/>
        </w:rPr>
      </w:pPr>
      <w:r>
        <w:rPr>
          <w:rFonts w:hint="eastAsia" w:ascii="仿宋_GB2312" w:eastAsia="仿宋_GB2312"/>
          <w:b/>
          <w:bCs/>
          <w:color w:val="auto"/>
        </w:rPr>
        <w:t>“互联网+”物流。</w:t>
      </w:r>
      <w:r>
        <w:rPr>
          <w:rFonts w:hint="eastAsia" w:ascii="仿宋_GB2312" w:eastAsia="仿宋_GB2312"/>
          <w:color w:val="auto"/>
        </w:rPr>
        <w:t>加快建设智能物流仓储和物流配送体系，促进各类运输方式无缝对接和高效联运。</w:t>
      </w:r>
    </w:p>
    <w:p>
      <w:pPr>
        <w:spacing w:line="620" w:lineRule="exact"/>
        <w:ind w:firstLine="643"/>
        <w:rPr>
          <w:rFonts w:hint="eastAsia" w:ascii="仿宋_GB2312" w:eastAsia="仿宋_GB2312"/>
          <w:color w:val="auto"/>
        </w:rPr>
      </w:pPr>
      <w:r>
        <w:rPr>
          <w:rFonts w:hint="eastAsia" w:ascii="仿宋_GB2312" w:eastAsia="仿宋_GB2312"/>
          <w:b/>
          <w:bCs/>
          <w:color w:val="auto"/>
        </w:rPr>
        <w:t>“互联网+”金融。</w:t>
      </w:r>
      <w:r>
        <w:rPr>
          <w:rFonts w:hint="eastAsia" w:ascii="仿宋_GB2312" w:eastAsia="仿宋_GB2312"/>
          <w:color w:val="auto"/>
        </w:rPr>
        <w:t>大力发展网络借贷、网络证券、网络保险、互联网基金销售等业务，创新在线支付、信贷、P2P、征信、金融租赁等金融产品和服务。</w:t>
      </w:r>
    </w:p>
    <w:p>
      <w:pPr>
        <w:pStyle w:val="2"/>
        <w:keepNext w:val="0"/>
        <w:keepLines w:val="0"/>
        <w:spacing w:before="312" w:beforeLines="100" w:after="312" w:afterLines="100"/>
        <w:jc w:val="center"/>
        <w:rPr>
          <w:rFonts w:hint="eastAsia" w:ascii="方正大标宋简体" w:hAnsi="黑体" w:eastAsia="方正大标宋简体" w:cs="黑体"/>
          <w:color w:val="auto"/>
        </w:rPr>
      </w:pPr>
      <w:bookmarkStart w:id="93" w:name="_Toc30162"/>
      <w:r>
        <w:rPr>
          <w:rFonts w:hint="eastAsia" w:ascii="方正大标宋简体" w:hAnsi="黑体" w:eastAsia="方正大标宋简体" w:cs="黑体"/>
          <w:color w:val="auto"/>
        </w:rPr>
        <w:t>第四章  壮大循环经济，实现协调发展</w:t>
      </w:r>
      <w:bookmarkEnd w:id="93"/>
    </w:p>
    <w:p>
      <w:pPr>
        <w:spacing w:line="680" w:lineRule="exact"/>
        <w:ind w:firstLine="640"/>
        <w:rPr>
          <w:rFonts w:hint="eastAsia" w:eastAsia="仿宋_GB2312"/>
          <w:color w:val="auto"/>
          <w:szCs w:val="32"/>
        </w:rPr>
      </w:pPr>
      <w:r>
        <w:rPr>
          <w:rFonts w:hint="eastAsia" w:eastAsia="仿宋_GB2312"/>
          <w:color w:val="auto"/>
          <w:szCs w:val="32"/>
        </w:rPr>
        <w:t>依托生态资源优势，融合发展生态农业和全域旅游，改造提升传统优势工业，大力发展战略新兴产业，依托工业园区延伸循环经济产业链，优化存量、做优增量，推进大调整、大循环、大协作，完善绿色循环产业体系。</w:t>
      </w:r>
    </w:p>
    <w:p>
      <w:pPr>
        <w:pStyle w:val="3"/>
        <w:keepNext w:val="0"/>
        <w:keepLines w:val="0"/>
        <w:spacing w:before="156" w:beforeLines="50" w:after="156" w:afterLines="50"/>
        <w:rPr>
          <w:rFonts w:hint="eastAsia" w:ascii="黑体" w:hAnsi="黑体" w:eastAsia="黑体" w:cs="宋体"/>
          <w:b w:val="0"/>
          <w:color w:val="auto"/>
        </w:rPr>
      </w:pPr>
      <w:bookmarkStart w:id="94" w:name="_Toc22572"/>
      <w:r>
        <w:rPr>
          <w:rFonts w:hint="eastAsia" w:ascii="黑体" w:hAnsi="黑体" w:eastAsia="黑体" w:cs="宋体"/>
          <w:b w:val="0"/>
          <w:color w:val="auto"/>
        </w:rPr>
        <w:t>第一节  高效发展生态农业</w:t>
      </w:r>
      <w:bookmarkEnd w:id="94"/>
    </w:p>
    <w:p>
      <w:pPr>
        <w:spacing w:after="156" w:afterLines="50" w:line="610" w:lineRule="exact"/>
        <w:ind w:firstLine="643"/>
        <w:rPr>
          <w:rFonts w:hint="eastAsia" w:eastAsia="仿宋_GB2312"/>
          <w:color w:val="auto"/>
          <w:szCs w:val="32"/>
        </w:rPr>
      </w:pPr>
      <w:r>
        <w:rPr>
          <w:rFonts w:hint="eastAsia"/>
          <w:b/>
          <w:color w:val="auto"/>
          <w:szCs w:val="20"/>
        </w:rPr>
        <w:t>优化农业产业结构。</w:t>
      </w:r>
      <w:r>
        <w:rPr>
          <w:rFonts w:hint="eastAsia" w:eastAsia="仿宋_GB2312"/>
          <w:color w:val="auto"/>
          <w:szCs w:val="32"/>
        </w:rPr>
        <w:t>优化</w:t>
      </w:r>
      <w:r>
        <w:rPr>
          <w:rFonts w:eastAsia="仿宋_GB2312"/>
          <w:color w:val="auto"/>
          <w:szCs w:val="32"/>
        </w:rPr>
        <w:t>农业结构，</w:t>
      </w:r>
      <w:r>
        <w:rPr>
          <w:rFonts w:hint="eastAsia" w:eastAsia="仿宋_GB2312"/>
          <w:color w:val="auto"/>
          <w:szCs w:val="32"/>
        </w:rPr>
        <w:t>提升改造传统农业，因地制宜调整</w:t>
      </w:r>
      <w:r>
        <w:rPr>
          <w:rFonts w:eastAsia="仿宋_GB2312"/>
          <w:color w:val="auto"/>
          <w:szCs w:val="32"/>
        </w:rPr>
        <w:t>农产品区域布局，建设优质粮油</w:t>
      </w:r>
      <w:r>
        <w:rPr>
          <w:rFonts w:hint="eastAsia" w:eastAsia="仿宋_GB2312"/>
          <w:color w:val="auto"/>
          <w:szCs w:val="32"/>
        </w:rPr>
        <w:t>和</w:t>
      </w:r>
      <w:r>
        <w:rPr>
          <w:rFonts w:eastAsia="仿宋_GB2312"/>
          <w:color w:val="auto"/>
          <w:szCs w:val="32"/>
        </w:rPr>
        <w:t>茶叶、干果、道地中药材、</w:t>
      </w:r>
      <w:r>
        <w:rPr>
          <w:rFonts w:hint="eastAsia" w:eastAsia="仿宋_GB2312"/>
          <w:color w:val="auto"/>
          <w:szCs w:val="32"/>
        </w:rPr>
        <w:t>食用菌</w:t>
      </w:r>
      <w:r>
        <w:rPr>
          <w:rFonts w:eastAsia="仿宋_GB2312"/>
          <w:color w:val="auto"/>
          <w:szCs w:val="32"/>
        </w:rPr>
        <w:t>等特色</w:t>
      </w:r>
      <w:r>
        <w:rPr>
          <w:rFonts w:hint="eastAsia" w:eastAsia="仿宋_GB2312"/>
          <w:color w:val="auto"/>
          <w:szCs w:val="32"/>
        </w:rPr>
        <w:t>农产品种植加工</w:t>
      </w:r>
      <w:r>
        <w:rPr>
          <w:rFonts w:eastAsia="仿宋_GB2312"/>
          <w:color w:val="auto"/>
          <w:szCs w:val="32"/>
        </w:rPr>
        <w:t>基地</w:t>
      </w:r>
      <w:r>
        <w:rPr>
          <w:rFonts w:hint="eastAsia" w:eastAsia="仿宋_GB2312"/>
          <w:color w:val="auto"/>
          <w:szCs w:val="32"/>
        </w:rPr>
        <w:t>；积极</w:t>
      </w:r>
      <w:r>
        <w:rPr>
          <w:rFonts w:eastAsia="仿宋_GB2312"/>
          <w:color w:val="auto"/>
          <w:szCs w:val="32"/>
        </w:rPr>
        <w:t>发展</w:t>
      </w:r>
      <w:r>
        <w:rPr>
          <w:rFonts w:hint="eastAsia" w:eastAsia="仿宋_GB2312"/>
          <w:color w:val="auto"/>
          <w:szCs w:val="32"/>
        </w:rPr>
        <w:t>具有地方特色的</w:t>
      </w:r>
      <w:r>
        <w:rPr>
          <w:rFonts w:eastAsia="仿宋_GB2312"/>
          <w:color w:val="auto"/>
          <w:szCs w:val="32"/>
        </w:rPr>
        <w:t>生态畜牧业</w:t>
      </w:r>
      <w:r>
        <w:rPr>
          <w:rFonts w:hint="eastAsia" w:eastAsia="仿宋_GB2312"/>
          <w:color w:val="auto"/>
          <w:szCs w:val="32"/>
        </w:rPr>
        <w:t>，以陕南千万头生猪基地建设为目标，大力发展标准化规模</w:t>
      </w:r>
      <w:r>
        <w:rPr>
          <w:rFonts w:eastAsia="仿宋_GB2312"/>
          <w:color w:val="auto"/>
          <w:szCs w:val="32"/>
        </w:rPr>
        <w:t>水产养殖业和特</w:t>
      </w:r>
      <w:r>
        <w:rPr>
          <w:rFonts w:hint="eastAsia" w:eastAsia="仿宋_GB2312"/>
          <w:color w:val="auto"/>
          <w:szCs w:val="32"/>
        </w:rPr>
        <w:t>色</w:t>
      </w:r>
      <w:r>
        <w:rPr>
          <w:rFonts w:eastAsia="仿宋_GB2312"/>
          <w:color w:val="auto"/>
          <w:szCs w:val="32"/>
        </w:rPr>
        <w:t>养殖业</w:t>
      </w:r>
      <w:r>
        <w:rPr>
          <w:rFonts w:hint="eastAsia" w:eastAsia="仿宋_GB2312"/>
          <w:color w:val="auto"/>
          <w:szCs w:val="32"/>
        </w:rPr>
        <w:t>；大力开发富硒农产品，推动优势产品进入</w:t>
      </w:r>
      <w:r>
        <w:rPr>
          <w:rFonts w:eastAsia="仿宋_GB2312"/>
          <w:color w:val="auto"/>
          <w:szCs w:val="32"/>
        </w:rPr>
        <w:t>高端市场。建设特色经济林基地，大力发展林下</w:t>
      </w:r>
      <w:r>
        <w:rPr>
          <w:rFonts w:hint="eastAsia" w:eastAsia="仿宋_GB2312"/>
          <w:color w:val="auto"/>
          <w:szCs w:val="32"/>
        </w:rPr>
        <w:t>经济</w:t>
      </w:r>
      <w:r>
        <w:rPr>
          <w:rFonts w:eastAsia="仿宋_GB2312"/>
          <w:color w:val="auto"/>
          <w:szCs w:val="32"/>
        </w:rPr>
        <w:t>。加强农业科技服务</w:t>
      </w:r>
      <w:r>
        <w:rPr>
          <w:rFonts w:hint="eastAsia" w:eastAsia="仿宋_GB2312"/>
          <w:color w:val="auto"/>
          <w:szCs w:val="32"/>
        </w:rPr>
        <w:t>及成果转化</w:t>
      </w:r>
      <w:r>
        <w:rPr>
          <w:rFonts w:eastAsia="仿宋_GB2312"/>
          <w:color w:val="auto"/>
          <w:szCs w:val="32"/>
        </w:rPr>
        <w:t>，发展立体农业、设施农业、休闲观光农业</w:t>
      </w:r>
      <w:r>
        <w:rPr>
          <w:rFonts w:hint="eastAsia" w:eastAsia="仿宋_GB2312"/>
          <w:color w:val="auto"/>
          <w:szCs w:val="32"/>
        </w:rPr>
        <w:t>。全面提高农业物质装备化水平，加快农业人才队伍建设。</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7" w:type="dxa"/>
            <w:noWrap w:val="0"/>
            <w:vAlign w:val="top"/>
          </w:tcPr>
          <w:p>
            <w:pPr>
              <w:spacing w:before="156" w:beforeLines="50" w:after="156" w:afterLines="50" w:line="38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专栏1   生态农业发展重点</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特色种植业：</w:t>
            </w:r>
            <w:r>
              <w:rPr>
                <w:rFonts w:hint="eastAsia" w:ascii="仿宋_GB2312" w:hAnsi="仿宋" w:eastAsia="仿宋_GB2312"/>
                <w:color w:val="auto"/>
                <w:sz w:val="24"/>
              </w:rPr>
              <w:t>在汉中盆地、安康月河川道和商丹洛谷地，重点利用科技提高水稻、油菜产出，打造百万亩油菜水稻一体化功能区，确保陕南粮食安全和主要农产品供给；在秦岭高海拔地区建设高山优质蔬菜基地，总规模达20万亩以上；重点建设200亩以上无性系种苗母穗园基地和年产2000万株以上无性系良种茶苗的繁育圃；加快省级标准茶园建设，年均建设50个，辐射带动周边茶园发展；在丘陵区建设柑桔、猕猴桃、核桃、板栗、柿子、油用牡丹等优势产业板块，积极扩大种植规模；加快建设魔芋、食用菌、高山有机蔬菜等种植加工基地，促进陕南蔬菜产业转型升级；继续培育天麻、杜仲、丹参、猪苓、黄芩、西洋参、绞股蓝、山茱萸、五味子、黄连、玄参、川牛夕等道地中药材特色产业，扩大规模，创建市场品牌。</w:t>
            </w:r>
          </w:p>
          <w:p>
            <w:pPr>
              <w:spacing w:line="400" w:lineRule="exact"/>
              <w:ind w:firstLine="482"/>
              <w:rPr>
                <w:rFonts w:hint="eastAsia" w:ascii="仿宋_GB2312" w:hAnsi="仿宋" w:eastAsia="仿宋_GB2312"/>
                <w:color w:val="auto"/>
                <w:kern w:val="0"/>
                <w:sz w:val="21"/>
                <w:szCs w:val="21"/>
              </w:rPr>
            </w:pPr>
            <w:r>
              <w:rPr>
                <w:rFonts w:hint="eastAsia" w:ascii="仿宋_GB2312" w:hAnsi="仿宋" w:eastAsia="仿宋_GB2312"/>
                <w:b/>
                <w:bCs/>
                <w:color w:val="auto"/>
                <w:sz w:val="24"/>
              </w:rPr>
              <w:t>特色养殖业：</w:t>
            </w:r>
            <w:r>
              <w:rPr>
                <w:rFonts w:hint="eastAsia" w:ascii="仿宋_GB2312" w:hAnsi="仿宋" w:eastAsia="仿宋_GB2312"/>
                <w:color w:val="auto"/>
                <w:sz w:val="24"/>
              </w:rPr>
              <w:t>建设生猪、西镇牛、白山羊、土鸡、蚕桑、大鲵、鳜鱼、鲟鱼、高山冷水鱼、乌鸡、特种野猪、中华蜜蜂、林麝等养殖基地，大力发展标准化规模养殖，培育高端市场。</w:t>
            </w:r>
          </w:p>
        </w:tc>
      </w:tr>
    </w:tbl>
    <w:p>
      <w:pPr>
        <w:spacing w:before="156" w:beforeLines="50" w:after="312" w:afterLines="100" w:line="610" w:lineRule="exact"/>
        <w:ind w:firstLine="643"/>
        <w:rPr>
          <w:rFonts w:hint="eastAsia" w:ascii="楷体_GB2312" w:hAnsi="仿宋" w:eastAsia="楷体_GB2312"/>
          <w:b/>
          <w:color w:val="auto"/>
          <w:sz w:val="28"/>
          <w:szCs w:val="28"/>
        </w:rPr>
      </w:pPr>
      <w:r>
        <w:rPr>
          <w:rFonts w:hint="eastAsia"/>
          <w:b/>
          <w:color w:val="auto"/>
          <w:szCs w:val="20"/>
        </w:rPr>
        <w:t>打造循环农业产业链。</w:t>
      </w:r>
      <w:r>
        <w:rPr>
          <w:color w:val="auto"/>
        </w:rPr>
        <w:t>以优良的自然生态环境为依托，以农业倍增和扶贫攻坚工程为抓手，大力发展节约型种植业、清洁化养殖业</w:t>
      </w:r>
      <w:r>
        <w:rPr>
          <w:rFonts w:hint="eastAsia"/>
          <w:color w:val="auto"/>
        </w:rPr>
        <w:t>。</w:t>
      </w:r>
      <w:r>
        <w:rPr>
          <w:rFonts w:hint="eastAsia" w:eastAsia="仿宋_GB2312"/>
          <w:color w:val="auto"/>
          <w:szCs w:val="32"/>
        </w:rPr>
        <w:t>转变农业发展方式，促进农产品加工流通增值，加快农旅融合发展，着力打造粮、油精深加工产业链，农林特产加工产业链，肉类深加工产业链，生态、观光、休闲农业产业链，庭院经济产业链。</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02" w:type="dxa"/>
            <w:noWrap w:val="0"/>
            <w:vAlign w:val="top"/>
          </w:tcPr>
          <w:p>
            <w:pPr>
              <w:spacing w:before="156" w:beforeLines="50" w:after="156" w:afterLines="50" w:line="400" w:lineRule="exact"/>
              <w:ind w:firstLine="0" w:firstLineChars="0"/>
              <w:jc w:val="center"/>
              <w:rPr>
                <w:rFonts w:hint="eastAsia" w:ascii="仿宋_GB2312" w:hAnsi="楷体" w:eastAsia="仿宋_GB2312" w:cs="楷体"/>
                <w:b/>
                <w:color w:val="auto"/>
                <w:sz w:val="28"/>
                <w:szCs w:val="28"/>
              </w:rPr>
            </w:pPr>
            <w:r>
              <w:rPr>
                <w:rFonts w:hint="eastAsia" w:ascii="仿宋_GB2312" w:hAnsi="仿宋" w:eastAsia="仿宋_GB2312"/>
                <w:b/>
                <w:color w:val="auto"/>
                <w:sz w:val="28"/>
                <w:szCs w:val="28"/>
              </w:rPr>
              <w:t>专栏2  五大循环农业产业链条</w:t>
            </w:r>
          </w:p>
          <w:p>
            <w:pPr>
              <w:spacing w:line="400" w:lineRule="exact"/>
              <w:ind w:firstLine="482"/>
              <w:jc w:val="left"/>
              <w:rPr>
                <w:rFonts w:hint="eastAsia" w:ascii="仿宋_GB2312" w:hAnsi="楷体" w:eastAsia="仿宋_GB2312" w:cs="楷体"/>
                <w:color w:val="auto"/>
                <w:sz w:val="24"/>
              </w:rPr>
            </w:pPr>
            <w:r>
              <w:rPr>
                <w:rFonts w:hint="eastAsia" w:ascii="仿宋_GB2312" w:hAnsi="楷体" w:eastAsia="仿宋_GB2312" w:cs="楷体"/>
                <w:b/>
                <w:color w:val="auto"/>
                <w:sz w:val="24"/>
              </w:rPr>
              <w:t>粮油精深加工产业链：</w:t>
            </w:r>
            <w:r>
              <w:rPr>
                <w:rFonts w:hint="eastAsia" w:ascii="仿宋_GB2312" w:hAnsi="楷体" w:eastAsia="仿宋_GB2312" w:cs="楷体"/>
                <w:color w:val="auto"/>
                <w:sz w:val="24"/>
              </w:rPr>
              <w:t>粮油种植—粮油加工—废弃物利用。</w:t>
            </w:r>
          </w:p>
          <w:p>
            <w:pPr>
              <w:spacing w:line="400" w:lineRule="exact"/>
              <w:ind w:firstLine="482"/>
              <w:jc w:val="left"/>
              <w:rPr>
                <w:rFonts w:hint="eastAsia" w:ascii="仿宋_GB2312" w:hAnsi="楷体" w:eastAsia="仿宋_GB2312" w:cs="楷体"/>
                <w:bCs/>
                <w:color w:val="auto"/>
                <w:sz w:val="24"/>
              </w:rPr>
            </w:pPr>
            <w:r>
              <w:rPr>
                <w:rFonts w:hint="eastAsia" w:ascii="仿宋_GB2312" w:hAnsi="楷体" w:eastAsia="仿宋_GB2312" w:cs="楷体"/>
                <w:b/>
                <w:color w:val="auto"/>
                <w:sz w:val="24"/>
              </w:rPr>
              <w:t>农林特产加工产业链：</w:t>
            </w:r>
            <w:r>
              <w:rPr>
                <w:rFonts w:hint="eastAsia" w:ascii="仿宋_GB2312" w:hAnsi="楷体" w:eastAsia="仿宋_GB2312" w:cs="楷体"/>
                <w:color w:val="auto"/>
                <w:sz w:val="24"/>
              </w:rPr>
              <w:t>茶叶种植—茶饮料/茶食品—茶化工—废弃物利用，蔬果种植—加工—有效成分提取—废弃物利用，中药材种植—初级加工—有效成分提取—保健品/药品—废弃物利用</w:t>
            </w:r>
            <w:r>
              <w:rPr>
                <w:rFonts w:hint="eastAsia" w:ascii="仿宋_GB2312" w:hAnsi="楷体" w:eastAsia="仿宋_GB2312" w:cs="楷体"/>
                <w:bCs/>
                <w:color w:val="auto"/>
                <w:sz w:val="24"/>
              </w:rPr>
              <w:t>。</w:t>
            </w:r>
          </w:p>
          <w:p>
            <w:pPr>
              <w:spacing w:line="400" w:lineRule="exact"/>
              <w:ind w:firstLine="482"/>
              <w:jc w:val="left"/>
              <w:rPr>
                <w:rFonts w:hint="eastAsia" w:ascii="仿宋_GB2312" w:hAnsi="楷体" w:eastAsia="仿宋_GB2312" w:cs="楷体"/>
                <w:bCs/>
                <w:color w:val="auto"/>
                <w:sz w:val="24"/>
              </w:rPr>
            </w:pPr>
            <w:r>
              <w:rPr>
                <w:rFonts w:hint="eastAsia" w:ascii="仿宋_GB2312" w:hAnsi="楷体" w:eastAsia="仿宋_GB2312" w:cs="楷体"/>
                <w:b/>
                <w:color w:val="auto"/>
                <w:sz w:val="24"/>
              </w:rPr>
              <w:t>肉类深加工产业链：</w:t>
            </w:r>
            <w:r>
              <w:rPr>
                <w:rFonts w:hint="eastAsia" w:ascii="仿宋_GB2312" w:hAnsi="楷体" w:eastAsia="仿宋_GB2312" w:cs="楷体"/>
                <w:color w:val="auto"/>
                <w:sz w:val="24"/>
              </w:rPr>
              <w:t>畜禽养殖—屠宰分割—肉制品加工—药物提取—冷链物流—废弃物利用，水产品养殖—初级加工（含大鲵加工）—精深加工（有效成分提取）—医药/保健品/调味品—废弃物利用</w:t>
            </w:r>
            <w:r>
              <w:rPr>
                <w:rFonts w:hint="eastAsia" w:ascii="仿宋_GB2312" w:hAnsi="楷体" w:eastAsia="仿宋_GB2312" w:cs="楷体"/>
                <w:bCs/>
                <w:color w:val="auto"/>
                <w:sz w:val="24"/>
              </w:rPr>
              <w:t>。</w:t>
            </w:r>
          </w:p>
          <w:p>
            <w:pPr>
              <w:spacing w:line="400" w:lineRule="exact"/>
              <w:ind w:firstLine="482"/>
              <w:jc w:val="left"/>
              <w:rPr>
                <w:rFonts w:hint="eastAsia" w:ascii="仿宋_GB2312" w:hAnsi="楷体" w:eastAsia="仿宋_GB2312" w:cs="楷体"/>
                <w:bCs/>
                <w:color w:val="auto"/>
                <w:sz w:val="24"/>
              </w:rPr>
            </w:pPr>
            <w:r>
              <w:rPr>
                <w:rFonts w:hint="eastAsia" w:ascii="仿宋_GB2312" w:hAnsi="楷体" w:eastAsia="仿宋_GB2312" w:cs="楷体"/>
                <w:b/>
                <w:color w:val="auto"/>
                <w:sz w:val="24"/>
              </w:rPr>
              <w:t>生态、观光、休闲农业产业链：</w:t>
            </w:r>
            <w:r>
              <w:rPr>
                <w:rFonts w:hint="eastAsia" w:ascii="仿宋_GB2312" w:hAnsi="楷体" w:eastAsia="仿宋_GB2312" w:cs="楷体"/>
                <w:bCs/>
                <w:color w:val="auto"/>
                <w:sz w:val="24"/>
              </w:rPr>
              <w:t>农产品种植</w:t>
            </w:r>
            <w:r>
              <w:rPr>
                <w:rFonts w:hint="eastAsia" w:ascii="仿宋_GB2312" w:hAnsi="楷体" w:eastAsia="仿宋_GB2312" w:cs="楷体"/>
                <w:color w:val="auto"/>
                <w:sz w:val="24"/>
              </w:rPr>
              <w:t>—农业观光—水上公园—休闲、垂钓、餐饮住宿—农产品销售</w:t>
            </w:r>
            <w:r>
              <w:rPr>
                <w:rFonts w:hint="eastAsia" w:ascii="仿宋_GB2312" w:hAnsi="楷体" w:eastAsia="仿宋_GB2312" w:cs="楷体"/>
                <w:bCs/>
                <w:color w:val="auto"/>
                <w:sz w:val="24"/>
              </w:rPr>
              <w:t>。</w:t>
            </w:r>
          </w:p>
          <w:p>
            <w:pPr>
              <w:spacing w:line="400" w:lineRule="exact"/>
              <w:ind w:firstLine="482"/>
              <w:jc w:val="left"/>
              <w:rPr>
                <w:rFonts w:hint="eastAsia" w:ascii="仿宋_GB2312" w:hAnsi="仿宋" w:eastAsia="仿宋_GB2312" w:cs="仿宋"/>
                <w:b/>
                <w:bCs/>
                <w:color w:val="auto"/>
                <w:sz w:val="21"/>
                <w:szCs w:val="21"/>
              </w:rPr>
            </w:pPr>
            <w:r>
              <w:rPr>
                <w:rFonts w:hint="eastAsia" w:ascii="仿宋_GB2312" w:hAnsi="楷体" w:eastAsia="仿宋_GB2312" w:cs="楷体"/>
                <w:b/>
                <w:color w:val="auto"/>
                <w:sz w:val="24"/>
              </w:rPr>
              <w:t>庭院经济产业链：</w:t>
            </w:r>
            <w:r>
              <w:rPr>
                <w:rFonts w:hint="eastAsia" w:ascii="仿宋_GB2312" w:hAnsi="楷体" w:eastAsia="仿宋_GB2312" w:cs="楷体"/>
                <w:bCs/>
                <w:color w:val="auto"/>
                <w:sz w:val="24"/>
              </w:rPr>
              <w:t>庭院种养植</w:t>
            </w:r>
            <w:r>
              <w:rPr>
                <w:rFonts w:hint="eastAsia" w:ascii="仿宋_GB2312" w:hAnsi="楷体" w:eastAsia="仿宋_GB2312" w:cs="楷体"/>
                <w:color w:val="auto"/>
                <w:sz w:val="24"/>
              </w:rPr>
              <w:t>—庭院产品加工—庭院休闲观光—庭院餐饮住宿—庭院产品销售</w:t>
            </w:r>
            <w:r>
              <w:rPr>
                <w:rFonts w:hint="eastAsia" w:ascii="仿宋_GB2312" w:hAnsi="楷体" w:eastAsia="仿宋_GB2312" w:cs="楷体"/>
                <w:bCs/>
                <w:color w:val="auto"/>
                <w:sz w:val="24"/>
              </w:rPr>
              <w:t>。</w:t>
            </w:r>
          </w:p>
        </w:tc>
      </w:tr>
    </w:tbl>
    <w:p>
      <w:pPr>
        <w:spacing w:before="156" w:beforeLines="50" w:line="610" w:lineRule="exact"/>
        <w:ind w:firstLine="643"/>
        <w:rPr>
          <w:rFonts w:hint="eastAsia"/>
          <w:b/>
          <w:color w:val="auto"/>
          <w:szCs w:val="20"/>
        </w:rPr>
      </w:pPr>
    </w:p>
    <w:p>
      <w:pPr>
        <w:spacing w:before="156" w:beforeLines="50" w:line="610" w:lineRule="exact"/>
        <w:ind w:firstLine="643"/>
        <w:rPr>
          <w:rFonts w:hint="eastAsia"/>
          <w:b/>
          <w:color w:val="auto"/>
          <w:szCs w:val="20"/>
        </w:rPr>
      </w:pPr>
      <w:r>
        <w:rPr>
          <w:rFonts w:hint="eastAsia"/>
          <w:b/>
          <w:color w:val="auto"/>
          <w:szCs w:val="20"/>
        </w:rPr>
        <w:t>建设特色农业园区。</w:t>
      </w:r>
      <w:r>
        <w:rPr>
          <w:rFonts w:hint="eastAsia" w:eastAsia="仿宋_GB2312"/>
          <w:color w:val="auto"/>
          <w:szCs w:val="32"/>
        </w:rPr>
        <w:t>以特色农业园区为载体，走生态化、规模化、创新发展新型农业之路。打破县（区）行政区</w:t>
      </w:r>
      <w:r>
        <w:rPr>
          <w:rFonts w:hint="eastAsia" w:eastAsia="仿宋_GB2312"/>
          <w:color w:val="auto"/>
          <w:szCs w:val="32"/>
          <w:lang w:eastAsia="zh-CN"/>
        </w:rPr>
        <w:t>划</w:t>
      </w:r>
      <w:r>
        <w:rPr>
          <w:rFonts w:hint="eastAsia" w:eastAsia="仿宋_GB2312"/>
          <w:color w:val="auto"/>
          <w:szCs w:val="32"/>
        </w:rPr>
        <w:t>界线，推动“一县一业”发展，使特色农产品生产逐步向优势产区集中，逐步形成专业化、规模化分布格局。加快推进</w:t>
      </w:r>
      <w:r>
        <w:rPr>
          <w:rFonts w:eastAsia="仿宋_GB2312"/>
          <w:color w:val="auto"/>
          <w:szCs w:val="32"/>
        </w:rPr>
        <w:t>农产品加工园区</w:t>
      </w:r>
      <w:r>
        <w:rPr>
          <w:rFonts w:hint="eastAsia" w:eastAsia="仿宋_GB2312"/>
          <w:color w:val="auto"/>
          <w:szCs w:val="32"/>
        </w:rPr>
        <w:t>建设，</w:t>
      </w:r>
      <w:r>
        <w:rPr>
          <w:rFonts w:eastAsia="仿宋_GB2312"/>
          <w:color w:val="auto"/>
          <w:szCs w:val="32"/>
        </w:rPr>
        <w:t>完善产业链条</w:t>
      </w:r>
      <w:r>
        <w:rPr>
          <w:rFonts w:hint="eastAsia" w:eastAsia="仿宋_GB2312"/>
          <w:color w:val="auto"/>
          <w:szCs w:val="32"/>
        </w:rPr>
        <w:t>，形成一批</w:t>
      </w:r>
      <w:r>
        <w:rPr>
          <w:rFonts w:eastAsia="仿宋_GB2312"/>
          <w:color w:val="auto"/>
          <w:szCs w:val="32"/>
        </w:rPr>
        <w:t>农产品集散、冷链物流</w:t>
      </w:r>
      <w:r>
        <w:rPr>
          <w:rFonts w:hint="eastAsia" w:eastAsia="仿宋_GB2312"/>
          <w:color w:val="auto"/>
          <w:szCs w:val="32"/>
        </w:rPr>
        <w:t>及</w:t>
      </w:r>
      <w:r>
        <w:rPr>
          <w:rFonts w:eastAsia="仿宋_GB2312"/>
          <w:color w:val="auto"/>
          <w:szCs w:val="32"/>
        </w:rPr>
        <w:t>加工配送中心。</w:t>
      </w:r>
      <w:r>
        <w:rPr>
          <w:rFonts w:hint="eastAsia" w:eastAsia="仿宋_GB2312"/>
          <w:color w:val="auto"/>
          <w:szCs w:val="32"/>
        </w:rPr>
        <w:t>推动农产品</w:t>
      </w:r>
      <w:r>
        <w:rPr>
          <w:rFonts w:eastAsia="仿宋_GB2312"/>
          <w:color w:val="auto"/>
          <w:szCs w:val="32"/>
        </w:rPr>
        <w:t>电商平台</w:t>
      </w:r>
      <w:r>
        <w:rPr>
          <w:rFonts w:hint="eastAsia" w:eastAsia="仿宋_GB2312"/>
          <w:color w:val="auto"/>
          <w:szCs w:val="32"/>
        </w:rPr>
        <w:t>建设，支持</w:t>
      </w:r>
      <w:r>
        <w:rPr>
          <w:rFonts w:eastAsia="仿宋_GB2312"/>
          <w:color w:val="auto"/>
          <w:szCs w:val="32"/>
        </w:rPr>
        <w:t>开展农超对接。积极培育新型农业</w:t>
      </w:r>
      <w:r>
        <w:rPr>
          <w:rFonts w:hint="eastAsia" w:eastAsia="仿宋_GB2312"/>
          <w:color w:val="auto"/>
          <w:szCs w:val="32"/>
        </w:rPr>
        <w:t>生产经营</w:t>
      </w:r>
      <w:r>
        <w:rPr>
          <w:rFonts w:eastAsia="仿宋_GB2312"/>
          <w:color w:val="auto"/>
          <w:szCs w:val="32"/>
        </w:rPr>
        <w:t>主体，构建种养加、产供销一体的农业产业化经营体系</w:t>
      </w:r>
      <w:r>
        <w:rPr>
          <w:rFonts w:hint="eastAsia" w:eastAsia="仿宋_GB2312"/>
          <w:color w:val="auto"/>
          <w:szCs w:val="32"/>
        </w:rPr>
        <w:t>。</w:t>
      </w:r>
      <w:r>
        <w:rPr>
          <w:rFonts w:eastAsia="仿宋_GB2312"/>
          <w:color w:val="auto"/>
          <w:szCs w:val="32"/>
        </w:rPr>
        <w:t>推动无公害食品、绿色食品、有机食品</w:t>
      </w:r>
      <w:r>
        <w:rPr>
          <w:rFonts w:hint="eastAsia" w:eastAsia="仿宋_GB2312"/>
          <w:color w:val="auto"/>
          <w:szCs w:val="32"/>
        </w:rPr>
        <w:t>地理保护标示认定和产品认证，建立特色农产品质量安全可追溯平台，稳步提高农产品质量安全水平</w:t>
      </w:r>
      <w:r>
        <w:rPr>
          <w:rFonts w:eastAsia="仿宋_GB2312"/>
          <w:color w:val="auto"/>
          <w:szCs w:val="32"/>
        </w:rPr>
        <w:t>。</w:t>
      </w:r>
    </w:p>
    <w:p>
      <w:pPr>
        <w:pStyle w:val="3"/>
        <w:keepNext w:val="0"/>
        <w:keepLines w:val="0"/>
        <w:spacing w:before="156" w:beforeLines="50" w:after="156" w:afterLines="50"/>
        <w:rPr>
          <w:rFonts w:hint="eastAsia" w:ascii="黑体" w:hAnsi="黑体" w:eastAsia="黑体" w:cs="宋体"/>
          <w:b w:val="0"/>
          <w:color w:val="auto"/>
        </w:rPr>
      </w:pPr>
      <w:bookmarkStart w:id="95" w:name="_Toc3568"/>
      <w:r>
        <w:rPr>
          <w:rFonts w:hint="eastAsia" w:ascii="黑体" w:hAnsi="黑体" w:eastAsia="黑体" w:cs="宋体"/>
          <w:b w:val="0"/>
          <w:color w:val="auto"/>
        </w:rPr>
        <w:t>第二节  转型发展循环工业</w:t>
      </w:r>
      <w:bookmarkEnd w:id="95"/>
    </w:p>
    <w:p>
      <w:pPr>
        <w:spacing w:after="156" w:afterLines="50" w:line="610" w:lineRule="exact"/>
        <w:ind w:firstLine="643"/>
        <w:rPr>
          <w:rFonts w:hint="eastAsia" w:eastAsia="仿宋_GB2312"/>
          <w:color w:val="auto"/>
          <w:szCs w:val="32"/>
        </w:rPr>
      </w:pPr>
      <w:r>
        <w:rPr>
          <w:rFonts w:hint="eastAsia"/>
          <w:b/>
          <w:color w:val="auto"/>
        </w:rPr>
        <w:t>加快工业转型升级。</w:t>
      </w:r>
      <w:r>
        <w:rPr>
          <w:rFonts w:hint="eastAsia" w:eastAsia="仿宋_GB2312"/>
          <w:color w:val="auto"/>
          <w:szCs w:val="32"/>
        </w:rPr>
        <w:t>坚持创新驱动、智能转型、强化基础、绿色发展，加快推进传统产业技术改造，提升产业发展水平。推动有色金属产业结构调整，淘汰落后产能，发展绿色矿山。以品牌建设为抓手，以食品工业园为载体，提高食品加工装备工艺水平，重点发展具有陕南特色和比较优势的粮油、果品、肉制品、果蔬饮品等。加强纺织工业园建设，承接高端纺织产业转移，开发富有竞争力的服装产品，研发生产大众日用品。推进陕南建筑材料产业向节能环保型发展。大力实施《&lt;中国制造2025&gt;陕西行动计划》，推动移动互联网、云计算、大数据、物联网等与现代制造业结合，促进工业化和信息化融合发展，推动新能源汽车、航空装备制造、高档数控机床与工业机器人等向国际先进水平发展。加快陕南中药材种植加工基地建设，支持龙头企业产能扩张和新产品产业化，打造陕南特色中药品牌。实施创新驱动发展战略，推进信息技术、增材制造、新材料、生物技术、绿色环保、新能源等新兴产业不断壮大。加快安康国家高新区、汉中航空智慧新城建设，发挥陕飞等龙头企业作用，鼓励支持地方企业开展配套服务。</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62" w:type="dxa"/>
            <w:noWrap w:val="0"/>
            <w:vAlign w:val="top"/>
          </w:tcPr>
          <w:p>
            <w:pPr>
              <w:spacing w:before="156" w:beforeLines="50" w:after="156" w:afterLines="50" w:line="38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专栏3  工业发展重点</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装备制造。</w:t>
            </w:r>
            <w:r>
              <w:rPr>
                <w:rFonts w:hint="eastAsia" w:ascii="仿宋_GB2312" w:hAnsi="楷体" w:eastAsia="仿宋_GB2312" w:cs="楷体"/>
                <w:color w:val="auto"/>
                <w:sz w:val="24"/>
              </w:rPr>
              <w:t>以飞机制造和大型数控机床为重点，重点打造汉中航空智慧新城，发展中型运输机、支线飞机及机载设备制造，打造航空等装备制造产业基地。加强军地、院地、院企合作，加快军民两用技术开发转化，实施一批军民融合科研和产业化项目，推动军民融合发展。发展汽车产业，重点发展重型车、专用车、新能源汽车和汽车关键零部件，建成一批生产和配套基地。引入高端装备制造业，加快桁架式工业机器人产业发展，填补省内空白。提升和发展机械基础件、基础制造工艺及基础材料，发展高端模具等配套产业。</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新型材料。</w:t>
            </w:r>
            <w:r>
              <w:rPr>
                <w:rFonts w:hint="eastAsia" w:ascii="仿宋_GB2312" w:hAnsi="楷体" w:eastAsia="仿宋_GB2312" w:cs="楷体"/>
                <w:color w:val="auto"/>
                <w:sz w:val="24"/>
              </w:rPr>
              <w:t>发展钒钛合金、氮钒合金、高强铝、硅锰铝合金、锌基合金、镁合金等有色金属新材料，延长产业链条，采取过网直供等方式，推进能矿联产。积极发展石墨、石膏、高分子、磁性材料、新型环保复合和功能材料。积极开发建筑新材料，发展石材加工、矿渣和粉煤灰综合利用建材，建设川陕渝结合部重要的建材基地。</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医药加工。</w:t>
            </w:r>
            <w:r>
              <w:rPr>
                <w:rFonts w:hint="eastAsia" w:ascii="仿宋_GB2312" w:hAnsi="楷体" w:eastAsia="仿宋_GB2312" w:cs="楷体"/>
                <w:color w:val="auto"/>
                <w:sz w:val="24"/>
              </w:rPr>
              <w:t>依托道地中药材药源基地，引进高新技术和现代制药企业，加快中药现代剂型、中药饮片、医药中间体创新技术开发、应用和产业化，大力发展生物制药。</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天然气化工。</w:t>
            </w:r>
            <w:r>
              <w:rPr>
                <w:rFonts w:hint="eastAsia" w:ascii="仿宋_GB2312" w:hAnsi="楷体" w:eastAsia="仿宋_GB2312" w:cs="楷体"/>
                <w:color w:val="auto"/>
                <w:sz w:val="24"/>
              </w:rPr>
              <w:t>加快天然气、页岩气资源勘探开发，促进天然气资源就地转化，科学布局以天然气为原料的精细化工及下游产业链，建成集勘探开发、综合利用、精深加工于一体的天然气产业集群。</w:t>
            </w:r>
          </w:p>
          <w:p>
            <w:pPr>
              <w:spacing w:line="400" w:lineRule="exact"/>
              <w:ind w:firstLine="482"/>
              <w:rPr>
                <w:rFonts w:hint="eastAsia" w:ascii="仿宋_GB2312" w:eastAsia="仿宋_GB2312"/>
                <w:bCs/>
                <w:color w:val="auto"/>
                <w:sz w:val="24"/>
              </w:rPr>
            </w:pPr>
            <w:r>
              <w:rPr>
                <w:rFonts w:hint="eastAsia" w:ascii="仿宋_GB2312" w:hAnsi="楷体" w:eastAsia="仿宋_GB2312" w:cs="楷体"/>
                <w:b/>
                <w:color w:val="auto"/>
                <w:sz w:val="24"/>
              </w:rPr>
              <w:t>轻工纺织。</w:t>
            </w:r>
            <w:r>
              <w:rPr>
                <w:rFonts w:hint="eastAsia" w:ascii="仿宋_GB2312" w:hAnsi="楷体" w:eastAsia="仿宋_GB2312" w:cs="楷体"/>
                <w:color w:val="auto"/>
                <w:sz w:val="24"/>
              </w:rPr>
              <w:t>发展缫丝、丝绸、家纺、服装、制鞋等传统产业，积极引进和培育龙头企业，加快生产工艺升级改造，进一步优化调整产品结构，建设一批丝绸、纺织、服装产业基地。</w:t>
            </w:r>
          </w:p>
        </w:tc>
      </w:tr>
    </w:tbl>
    <w:p>
      <w:pPr>
        <w:spacing w:after="156" w:afterLines="50" w:line="610" w:lineRule="exact"/>
        <w:ind w:firstLine="643"/>
        <w:rPr>
          <w:rFonts w:hint="eastAsia" w:eastAsia="仿宋_GB2312"/>
          <w:color w:val="auto"/>
          <w:szCs w:val="32"/>
        </w:rPr>
      </w:pPr>
      <w:r>
        <w:rPr>
          <w:rFonts w:hint="eastAsia"/>
          <w:b/>
          <w:color w:val="auto"/>
        </w:rPr>
        <w:t>建设循环经济产业园区。</w:t>
      </w:r>
      <w:r>
        <w:rPr>
          <w:rFonts w:hint="eastAsia" w:eastAsia="仿宋_GB2312"/>
          <w:color w:val="auto"/>
          <w:szCs w:val="32"/>
        </w:rPr>
        <w:t>以汉中、安康、商洛三大循环经济核心聚集区为重点，加大各类产业园区建设力度，重点发展有色、钢铁、装备、能源、生物医药、非金属材料、燃气化工、绿色食品、蚕桑丝绸等优势产业，走集聚化、绿色化、创新发展的新型工业之路，不断完善产业园区配套基础设施，进一步提高产业园区对当地经济的贡献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9" w:type="dxa"/>
            <w:noWrap w:val="0"/>
            <w:vAlign w:val="top"/>
          </w:tcPr>
          <w:p>
            <w:pPr>
              <w:spacing w:before="156" w:beforeLines="50" w:after="156" w:afterLines="50" w:line="38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专栏4  重点发展产业园区</w:t>
            </w:r>
          </w:p>
          <w:p>
            <w:pPr>
              <w:spacing w:line="400" w:lineRule="exact"/>
              <w:ind w:firstLine="482"/>
              <w:rPr>
                <w:rFonts w:hint="eastAsia" w:ascii="仿宋_GB2312" w:hAnsi="仿宋" w:eastAsia="仿宋_GB2312"/>
                <w:color w:val="auto"/>
                <w:sz w:val="24"/>
              </w:rPr>
            </w:pPr>
            <w:r>
              <w:rPr>
                <w:rFonts w:hint="eastAsia" w:ascii="仿宋_GB2312" w:hAnsi="楷体" w:eastAsia="仿宋_GB2312" w:cs="楷体"/>
                <w:b/>
                <w:color w:val="auto"/>
                <w:sz w:val="24"/>
              </w:rPr>
              <w:t>汉中循环经济产业园区：</w:t>
            </w:r>
            <w:r>
              <w:rPr>
                <w:rFonts w:hint="eastAsia" w:ascii="仿宋_GB2312" w:hAnsi="楷体" w:eastAsia="仿宋_GB2312" w:cs="楷体"/>
                <w:color w:val="auto"/>
                <w:sz w:val="24"/>
              </w:rPr>
              <w:t>以汉中经济技术开发区、汉江产业园区、南郑县工业园区、汉中航空智慧新城、城固县五郎工业聚集区、城固三合循环经济工业园区、洋县有机产业园区、洋县现代材料园、西乡县循环经济产业聚集区、勉县循环经济产业园、宁强循环经济产业园区、略阳食品医药工业园、镇巴绿色产业园为载体，重点发展装备制造、有色冶金、新型材料、燃气化工、生物医药加工、农业产业化经营。</w:t>
            </w:r>
          </w:p>
          <w:p>
            <w:pPr>
              <w:spacing w:line="400" w:lineRule="exact"/>
              <w:ind w:firstLine="482"/>
              <w:rPr>
                <w:rFonts w:hint="eastAsia" w:ascii="仿宋_GB2312" w:hAnsi="仿宋" w:eastAsia="仿宋_GB2312"/>
                <w:color w:val="auto"/>
                <w:sz w:val="24"/>
              </w:rPr>
            </w:pPr>
            <w:r>
              <w:rPr>
                <w:rFonts w:hint="eastAsia" w:ascii="仿宋_GB2312" w:hAnsi="楷体" w:eastAsia="仿宋_GB2312" w:cs="楷体"/>
                <w:b/>
                <w:color w:val="auto"/>
                <w:sz w:val="24"/>
              </w:rPr>
              <w:t>安康循环经济产业园区：</w:t>
            </w:r>
            <w:r>
              <w:rPr>
                <w:rFonts w:hint="eastAsia" w:ascii="仿宋_GB2312" w:hAnsi="楷体" w:eastAsia="仿宋_GB2312" w:cs="楷体"/>
                <w:color w:val="auto"/>
                <w:sz w:val="24"/>
              </w:rPr>
              <w:t>以安康高新区、汉滨区五里工业园、汉阴县月河工业园、旬阳县生态工业园、平利县陈家坝县域工业园及高新、恒口“飞地园区”、</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"http://www.baidu.com/s?wd=%E6%B1%89%E9%98%B4%E5%8E%BF&amp;hl_tag=textlink&amp;tn=SE_hldp01350_v6v6zkg6" \t "_blank"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汉阴县</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新型建材</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"http://www.baidu.com/s?wd=%E5%B7%A5%E4%B8%9A%E5%9B%AD%E5%8C%BA&amp;hl_tag=textlink&amp;tn=SE_hldp01350_v6v6zkg6" \t "_blank"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工业园区</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石泉县县域工业集中区、紫阳硒谷生态工业园、镇坪县现代绿色工业园、白河县两河工业园、宁陕县域工业园区、岚皋六口工业园区为载体，重点发展新型材料、装备制造、富硒食品、战略新兴产业和现代服务业。</w:t>
            </w:r>
          </w:p>
          <w:p>
            <w:pPr>
              <w:spacing w:line="400" w:lineRule="exact"/>
              <w:ind w:firstLine="482"/>
              <w:rPr>
                <w:rFonts w:hint="eastAsia" w:ascii="仿宋_GB2312" w:hAnsi="宋体" w:eastAsia="仿宋_GB2312"/>
                <w:b/>
                <w:color w:val="auto"/>
                <w:sz w:val="24"/>
              </w:rPr>
            </w:pPr>
            <w:r>
              <w:rPr>
                <w:rFonts w:hint="eastAsia" w:ascii="仿宋_GB2312" w:hAnsi="楷体" w:eastAsia="仿宋_GB2312" w:cs="楷体"/>
                <w:b/>
                <w:color w:val="auto"/>
                <w:sz w:val="24"/>
              </w:rPr>
              <w:t>商洛循环经济产业园区：</w:t>
            </w:r>
            <w:r>
              <w:rPr>
                <w:rFonts w:hint="eastAsia" w:ascii="仿宋_GB2312" w:hAnsi="楷体" w:eastAsia="仿宋_GB2312" w:cs="楷体"/>
                <w:color w:val="auto"/>
                <w:sz w:val="24"/>
              </w:rPr>
              <w:t>以商丹循环工业经济园、丹凤工业集中区、商州荆河生态工业园、镇安绿色食品工业园、洛南陶岭工业园、柞水盘龙生态产业园、柞水小岭工业园、商南工业集中区、洛南卫东工业园、山阳中村钒产业集群区、山阳工业集中区、陕西必康医药产业园、山阳金川医药产业园为载体，重点发展现代材料、新能源、装备制造、现代中药、绿色食品加工等。</w:t>
            </w:r>
          </w:p>
        </w:tc>
      </w:tr>
    </w:tbl>
    <w:p>
      <w:pPr>
        <w:spacing w:after="156" w:afterLines="50" w:line="610" w:lineRule="exact"/>
        <w:ind w:firstLine="643"/>
        <w:rPr>
          <w:rFonts w:hint="eastAsia" w:eastAsia="仿宋_GB2312"/>
          <w:color w:val="auto"/>
          <w:szCs w:val="32"/>
        </w:rPr>
      </w:pPr>
      <w:r>
        <w:rPr>
          <w:rFonts w:hint="eastAsia"/>
          <w:b/>
          <w:color w:val="auto"/>
        </w:rPr>
        <w:t>打造特色产业链。</w:t>
      </w:r>
      <w:r>
        <w:rPr>
          <w:rFonts w:hint="eastAsia" w:eastAsia="仿宋_GB2312"/>
          <w:color w:val="auto"/>
          <w:szCs w:val="32"/>
        </w:rPr>
        <w:t>按照循环经济发展理念，推动工业三废利用，提升资源综合利用水平。依托陕南丰富的矿产资源和生物资源，优化产业布局，促进企业循环式生产、园区循环式发展、产业循环式组合，推进能源梯级利用、水资源循环利用、废物交换利用、土地节约集约利用。着力提升产业发展水平，打造金属材料、建材及非金属、节能与新能源、食品医药、再制造循环产业链。加快淘汰落后产能，提升产能置换空间，推进循环工业可持续发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469" w:type="dxa"/>
            <w:noWrap w:val="0"/>
            <w:vAlign w:val="top"/>
          </w:tcPr>
          <w:p>
            <w:pPr>
              <w:spacing w:before="156" w:beforeLines="50" w:after="156" w:afterLines="50" w:line="38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专栏5  重点领域工业产业链条</w:t>
            </w:r>
          </w:p>
          <w:p>
            <w:pPr>
              <w:spacing w:line="400" w:lineRule="exact"/>
              <w:ind w:firstLine="482"/>
              <w:jc w:val="left"/>
              <w:rPr>
                <w:rFonts w:hint="eastAsia" w:ascii="仿宋_GB2312" w:hAnsi="楷体" w:eastAsia="仿宋_GB2312" w:cs="楷体"/>
                <w:bCs/>
                <w:color w:val="auto"/>
                <w:sz w:val="24"/>
              </w:rPr>
            </w:pPr>
            <w:r>
              <w:rPr>
                <w:rFonts w:hint="eastAsia" w:ascii="仿宋_GB2312" w:hAnsi="楷体" w:eastAsia="仿宋_GB2312" w:cs="楷体"/>
                <w:b/>
                <w:color w:val="auto"/>
                <w:sz w:val="24"/>
              </w:rPr>
              <w:t>绿色食药产业（2条）：</w:t>
            </w:r>
            <w:r>
              <w:rPr>
                <w:rFonts w:hint="eastAsia" w:ascii="仿宋_GB2312" w:hAnsi="楷体" w:eastAsia="仿宋_GB2312" w:cs="楷体"/>
                <w:bCs/>
                <w:color w:val="auto"/>
                <w:sz w:val="24"/>
              </w:rPr>
              <w:t>以绿色食品</w:t>
            </w:r>
            <w:r>
              <w:rPr>
                <w:rFonts w:hint="eastAsia" w:ascii="仿宋_GB2312" w:hAnsi="楷体" w:eastAsia="仿宋_GB2312" w:cs="楷体"/>
                <w:color w:val="auto"/>
                <w:sz w:val="24"/>
              </w:rPr>
              <w:t>原材料—初级加工—绿色食品—精深加工—高附加值绿色食品—废弃物资源化利用为主的绿色食品产业链；</w:t>
            </w:r>
            <w:r>
              <w:rPr>
                <w:rFonts w:hint="eastAsia" w:ascii="仿宋_GB2312" w:hAnsi="楷体" w:eastAsia="仿宋_GB2312" w:cs="楷体"/>
                <w:bCs/>
                <w:color w:val="auto"/>
                <w:sz w:val="24"/>
              </w:rPr>
              <w:t>以中药</w:t>
            </w:r>
            <w:r>
              <w:rPr>
                <w:rFonts w:hint="eastAsia" w:ascii="仿宋_GB2312" w:hAnsi="楷体" w:eastAsia="仿宋_GB2312" w:cs="楷体"/>
                <w:color w:val="auto"/>
                <w:sz w:val="24"/>
              </w:rPr>
              <w:t>原材料—精深加工—药品、保健品—废弃物资源化利用为主的生物医药产业链</w:t>
            </w:r>
            <w:r>
              <w:rPr>
                <w:rFonts w:hint="eastAsia" w:ascii="仿宋_GB2312" w:hAnsi="楷体" w:eastAsia="仿宋_GB2312" w:cs="楷体"/>
                <w:bCs/>
                <w:color w:val="auto"/>
                <w:sz w:val="24"/>
              </w:rPr>
              <w:t>。重点发展粮、酒、烟草、核桃、板栗加工；发展菜油、核桃油、米糠油、茶籽油和富硒矿泉水等功能饮料；发展杜仲、天麻、麝香、绞股蓝、五倍子等道地药材精深加工；发展生猪生产、肉类产品加工，猪苦胆、猪毛、猪胰腺等原料提取加工；发展魔芋、菌类产品深加工；发展净水渔业、循环流水养殖和稻渔生态养殖、渔菜共生、绿色水产品生产、水产品精（深）加工。</w:t>
            </w:r>
          </w:p>
          <w:p>
            <w:pPr>
              <w:spacing w:line="400" w:lineRule="exact"/>
              <w:ind w:firstLine="482"/>
              <w:jc w:val="left"/>
              <w:rPr>
                <w:rFonts w:hint="eastAsia" w:ascii="仿宋_GB2312" w:hAnsi="楷体" w:eastAsia="仿宋_GB2312" w:cs="楷体"/>
                <w:bCs/>
                <w:color w:val="auto"/>
                <w:sz w:val="24"/>
              </w:rPr>
            </w:pPr>
            <w:r>
              <w:rPr>
                <w:rFonts w:hint="eastAsia" w:ascii="仿宋_GB2312" w:hAnsi="楷体" w:eastAsia="仿宋_GB2312" w:cs="楷体"/>
                <w:b/>
                <w:color w:val="auto"/>
                <w:sz w:val="24"/>
              </w:rPr>
              <w:t>新能源产业链（4条）：</w:t>
            </w:r>
            <w:r>
              <w:rPr>
                <w:rFonts w:hint="eastAsia" w:ascii="仿宋_GB2312" w:hAnsi="楷体" w:eastAsia="仿宋_GB2312" w:cs="楷体"/>
                <w:color w:val="auto"/>
                <w:sz w:val="24"/>
              </w:rPr>
              <w:t>以种养殖废弃物—沼气—发电—沼渣利用为主的资源综合利用产业链，以油类植物、餐厨废弃物—无害化处理—生物柴油为主的生物质能产业链，以天然气开采—炼化—废弃物资源化利用为主的能源化工产业链，以秸秆、垃圾—分类处理—焚烧发电为主的新能源产业链</w:t>
            </w:r>
            <w:r>
              <w:rPr>
                <w:rFonts w:hint="eastAsia" w:ascii="仿宋_GB2312" w:hAnsi="楷体" w:eastAsia="仿宋_GB2312" w:cs="楷体"/>
                <w:bCs/>
                <w:color w:val="auto"/>
                <w:sz w:val="24"/>
              </w:rPr>
              <w:t>。</w:t>
            </w:r>
          </w:p>
          <w:p>
            <w:pPr>
              <w:spacing w:line="400" w:lineRule="exact"/>
              <w:ind w:firstLine="482"/>
              <w:jc w:val="left"/>
              <w:rPr>
                <w:rFonts w:hint="eastAsia" w:ascii="仿宋_GB2312" w:hAnsi="楷体" w:eastAsia="仿宋_GB2312" w:cs="楷体"/>
                <w:color w:val="auto"/>
                <w:sz w:val="24"/>
              </w:rPr>
            </w:pPr>
            <w:r>
              <w:rPr>
                <w:rFonts w:hint="eastAsia" w:ascii="仿宋_GB2312" w:hAnsi="楷体" w:eastAsia="仿宋_GB2312" w:cs="楷体"/>
                <w:b/>
                <w:color w:val="auto"/>
                <w:sz w:val="24"/>
              </w:rPr>
              <w:t>建材及非金属产业链（2条）：</w:t>
            </w:r>
            <w:r>
              <w:rPr>
                <w:rFonts w:hint="eastAsia" w:ascii="仿宋_GB2312" w:hAnsi="楷体" w:eastAsia="仿宋_GB2312" w:cs="楷体"/>
                <w:color w:val="auto"/>
                <w:sz w:val="24"/>
              </w:rPr>
              <w:t>以非金属矿石—初级加工—初级产品—高新技术加工—高附加值产品—废弃物资源化利用为主的建材非金属产业链；以花岗岩、大理石矿石—板材—工艺品—免烧砖—路面石为主的石材产业链。非金属矿主要有硅石、石膏、重晶石、毒重石、石墨、绢云母、萤石、白云岩、蛇纹岩、汉中黄玉等。</w:t>
            </w:r>
          </w:p>
          <w:p>
            <w:pPr>
              <w:spacing w:line="400" w:lineRule="exact"/>
              <w:ind w:firstLine="482"/>
              <w:jc w:val="left"/>
              <w:rPr>
                <w:rFonts w:hint="eastAsia" w:ascii="仿宋_GB2312" w:hAnsi="楷体" w:eastAsia="仿宋_GB2312" w:cs="楷体"/>
                <w:bCs/>
                <w:color w:val="auto"/>
                <w:spacing w:val="-4"/>
                <w:sz w:val="24"/>
              </w:rPr>
            </w:pPr>
            <w:r>
              <w:rPr>
                <w:rFonts w:hint="eastAsia" w:ascii="仿宋_GB2312" w:hAnsi="楷体" w:eastAsia="仿宋_GB2312" w:cs="楷体"/>
                <w:b/>
                <w:color w:val="auto"/>
                <w:sz w:val="24"/>
              </w:rPr>
              <w:t>金属材料产业链（2条）：</w:t>
            </w:r>
            <w:r>
              <w:rPr>
                <w:rFonts w:hint="eastAsia" w:ascii="仿宋_GB2312" w:hAnsi="楷体" w:eastAsia="仿宋_GB2312" w:cs="楷体"/>
                <w:color w:val="auto"/>
                <w:spacing w:val="-4"/>
                <w:sz w:val="24"/>
              </w:rPr>
              <w:t>以铁矿石采选—冶炼—钢铁—废弃物资源化利用为主的钢铁工业产业链；有色金属材料采选—冶炼—有色金属—废弃物资源化利用为主的有色工业产业链。</w:t>
            </w:r>
            <w:r>
              <w:rPr>
                <w:rFonts w:hint="eastAsia" w:ascii="仿宋_GB2312" w:hAnsi="楷体" w:eastAsia="仿宋_GB2312" w:cs="楷体"/>
                <w:color w:val="auto"/>
                <w:sz w:val="24"/>
              </w:rPr>
              <w:t>有色金属主要有铜、铅、锌、铝、镁、金、</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"http://baike.so.com/doc/5353591-5589054.html" \t "http://baike.so.com/doc/_blank"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银</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、钨、</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"http://baike.so.com/doc/5350905-5586361.html" \t "http://baike.so.com/doc/_blank"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钼</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"http://baike.so.com/doc/3584956-3769698.html" \t "http://baike.so.com/doc/_blank"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锗</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"http://baike.so.com/doc/6109885-6323011.html" \t "http://baike.so.com/doc/_blank"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锂</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"http://baike.so.com/doc/4126297-4325700.html" \t "http://baike.so.com/doc/_blank"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镧</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w:t>
            </w:r>
            <w:r>
              <w:rPr>
                <w:rFonts w:hint="eastAsia" w:ascii="仿宋_GB2312" w:hAnsi="楷体" w:eastAsia="仿宋_GB2312" w:cs="楷体"/>
                <w:color w:val="auto"/>
                <w:sz w:val="24"/>
              </w:rPr>
              <w:fldChar w:fldCharType="begin"/>
            </w:r>
            <w:r>
              <w:rPr>
                <w:rFonts w:hint="eastAsia" w:ascii="仿宋_GB2312" w:hAnsi="楷体" w:eastAsia="仿宋_GB2312" w:cs="楷体"/>
                <w:color w:val="auto"/>
                <w:sz w:val="24"/>
              </w:rPr>
              <w:instrText xml:space="preserve"> HYPERLINK "http://baike.so.com/doc/2096228-2217432.html" \t "http://baike.so.com/doc/_blank" </w:instrText>
            </w:r>
            <w:r>
              <w:rPr>
                <w:rFonts w:hint="eastAsia" w:ascii="仿宋_GB2312" w:hAnsi="楷体" w:eastAsia="仿宋_GB2312" w:cs="楷体"/>
                <w:color w:val="auto"/>
                <w:sz w:val="24"/>
              </w:rPr>
              <w:fldChar w:fldCharType="separate"/>
            </w:r>
            <w:r>
              <w:rPr>
                <w:rFonts w:hint="eastAsia" w:ascii="仿宋_GB2312" w:hAnsi="楷体" w:eastAsia="仿宋_GB2312" w:cs="楷体"/>
                <w:color w:val="auto"/>
                <w:sz w:val="24"/>
              </w:rPr>
              <w:t>铀</w:t>
            </w:r>
            <w:r>
              <w:rPr>
                <w:rFonts w:hint="eastAsia" w:ascii="仿宋_GB2312" w:hAnsi="楷体" w:eastAsia="仿宋_GB2312" w:cs="楷体"/>
                <w:color w:val="auto"/>
                <w:sz w:val="24"/>
              </w:rPr>
              <w:fldChar w:fldCharType="end"/>
            </w:r>
            <w:r>
              <w:rPr>
                <w:rFonts w:hint="eastAsia" w:ascii="仿宋_GB2312" w:hAnsi="楷体" w:eastAsia="仿宋_GB2312" w:cs="楷体"/>
                <w:color w:val="auto"/>
                <w:sz w:val="24"/>
              </w:rPr>
              <w:t>等。</w:t>
            </w:r>
          </w:p>
          <w:p>
            <w:pPr>
              <w:spacing w:line="400" w:lineRule="exact"/>
              <w:ind w:firstLine="482"/>
              <w:jc w:val="left"/>
              <w:rPr>
                <w:rFonts w:hint="eastAsia" w:ascii="仿宋_GB2312" w:hAnsi="楷体" w:eastAsia="仿宋_GB2312" w:cs="楷体"/>
                <w:bCs/>
                <w:color w:val="auto"/>
                <w:sz w:val="24"/>
              </w:rPr>
            </w:pPr>
            <w:r>
              <w:rPr>
                <w:rFonts w:hint="eastAsia" w:ascii="仿宋_GB2312" w:hAnsi="楷体" w:eastAsia="仿宋_GB2312" w:cs="楷体"/>
                <w:b/>
                <w:color w:val="auto"/>
                <w:sz w:val="24"/>
              </w:rPr>
              <w:t>装备制造产业链（1条）：</w:t>
            </w:r>
            <w:r>
              <w:rPr>
                <w:rFonts w:hint="eastAsia" w:ascii="仿宋_GB2312" w:hAnsi="楷体" w:eastAsia="仿宋_GB2312" w:cs="楷体"/>
                <w:color w:val="auto"/>
                <w:sz w:val="24"/>
              </w:rPr>
              <w:t>以优势材料—重要零部件—装备制造—装备产品销售，核心制造企业—配套制造企业为主的装备制造产业链。主要发展运输机、支线飞机、机载设备、精密机床、汽车及零部件等。</w:t>
            </w:r>
          </w:p>
          <w:p>
            <w:pPr>
              <w:spacing w:line="400" w:lineRule="exact"/>
              <w:ind w:firstLine="482"/>
              <w:rPr>
                <w:rFonts w:hint="eastAsia" w:ascii="仿宋_GB2312" w:hAnsi="仿宋" w:eastAsia="仿宋_GB2312" w:cs="仿宋"/>
                <w:b/>
                <w:bCs/>
                <w:color w:val="auto"/>
                <w:sz w:val="24"/>
              </w:rPr>
            </w:pPr>
            <w:r>
              <w:rPr>
                <w:rFonts w:hint="eastAsia" w:ascii="仿宋_GB2312" w:hAnsi="楷体" w:eastAsia="仿宋_GB2312" w:cs="楷体"/>
                <w:b/>
                <w:color w:val="auto"/>
                <w:sz w:val="24"/>
              </w:rPr>
              <w:t>再制造循环产业链（1条）：</w:t>
            </w:r>
            <w:r>
              <w:rPr>
                <w:rFonts w:hint="eastAsia" w:ascii="仿宋_GB2312" w:hAnsi="楷体" w:eastAsia="仿宋_GB2312" w:cs="楷体"/>
                <w:bCs/>
                <w:color w:val="auto"/>
                <w:sz w:val="24"/>
              </w:rPr>
              <w:t>以老旧淘汰设备—可再制造、再使用部件—高新技术修复、更新—新产品销售为主的再制造循环产业链。主要是对废旧机床的再制造。</w:t>
            </w:r>
          </w:p>
        </w:tc>
      </w:tr>
    </w:tbl>
    <w:p>
      <w:pPr>
        <w:pStyle w:val="3"/>
        <w:keepNext w:val="0"/>
        <w:keepLines w:val="0"/>
        <w:spacing w:before="312" w:beforeLines="100" w:after="156" w:afterLines="50"/>
        <w:rPr>
          <w:rFonts w:hint="eastAsia" w:ascii="黑体" w:hAnsi="黑体" w:eastAsia="黑体" w:cs="宋体"/>
          <w:b w:val="0"/>
          <w:color w:val="auto"/>
        </w:rPr>
      </w:pPr>
      <w:bookmarkStart w:id="96" w:name="_Toc28446"/>
      <w:r>
        <w:rPr>
          <w:rFonts w:hint="eastAsia" w:ascii="黑体" w:hAnsi="黑体" w:eastAsia="黑体" w:cs="宋体"/>
          <w:b w:val="0"/>
          <w:color w:val="auto"/>
        </w:rPr>
        <w:t xml:space="preserve">第三节  </w:t>
      </w:r>
      <w:r>
        <w:rPr>
          <w:rFonts w:hint="eastAsia" w:ascii="黑体" w:hAnsi="黑体" w:eastAsia="黑体" w:cs="宋体"/>
          <w:b w:val="0"/>
          <w:color w:val="auto"/>
          <w:lang w:val="en-US" w:eastAsia="zh-CN"/>
        </w:rPr>
        <w:t>提升</w:t>
      </w:r>
      <w:r>
        <w:rPr>
          <w:rFonts w:hint="eastAsia" w:ascii="黑体" w:hAnsi="黑体" w:eastAsia="黑体" w:cs="宋体"/>
          <w:b w:val="0"/>
          <w:color w:val="auto"/>
        </w:rPr>
        <w:t>发展</w:t>
      </w:r>
      <w:r>
        <w:rPr>
          <w:rFonts w:hint="eastAsia" w:ascii="黑体" w:hAnsi="黑体" w:eastAsia="黑体" w:cs="宋体"/>
          <w:b w:val="0"/>
          <w:color w:val="auto"/>
          <w:lang w:val="en-US" w:eastAsia="zh-CN"/>
        </w:rPr>
        <w:t>现代服务业</w:t>
      </w:r>
      <w:bookmarkEnd w:id="96"/>
    </w:p>
    <w:p>
      <w:pPr>
        <w:spacing w:after="156" w:afterLines="50" w:line="610" w:lineRule="exact"/>
        <w:ind w:firstLine="643"/>
        <w:rPr>
          <w:rFonts w:hint="eastAsia"/>
          <w:color w:val="auto"/>
          <w:szCs w:val="21"/>
        </w:rPr>
      </w:pPr>
      <w:r>
        <w:rPr>
          <w:rFonts w:hint="eastAsia" w:eastAsia="仿宋_GB2312"/>
          <w:b/>
          <w:bCs/>
          <w:color w:val="auto"/>
          <w:szCs w:val="32"/>
          <w:lang w:val="en-US" w:eastAsia="zh-CN"/>
        </w:rPr>
        <w:t>推进全域旅游产业。</w:t>
      </w:r>
      <w:r>
        <w:rPr>
          <w:rFonts w:hint="eastAsia" w:eastAsia="仿宋_GB2312"/>
          <w:b w:val="0"/>
          <w:bCs w:val="0"/>
          <w:color w:val="auto"/>
          <w:szCs w:val="32"/>
        </w:rPr>
        <w:t>壮大旅游重点领域</w:t>
      </w:r>
      <w:r>
        <w:rPr>
          <w:rFonts w:hint="eastAsia" w:eastAsia="仿宋_GB2312"/>
          <w:b w:val="0"/>
          <w:bCs w:val="0"/>
          <w:color w:val="auto"/>
          <w:szCs w:val="32"/>
          <w:lang w:eastAsia="zh-CN"/>
        </w:rPr>
        <w:t>，</w:t>
      </w:r>
      <w:r>
        <w:rPr>
          <w:rFonts w:hint="eastAsia" w:eastAsia="仿宋_GB2312"/>
          <w:color w:val="auto"/>
          <w:szCs w:val="32"/>
        </w:rPr>
        <w:t>充分利用秦巴自然风光、汉丹江风情</w:t>
      </w:r>
      <w:r>
        <w:rPr>
          <w:rFonts w:hint="eastAsia" w:eastAsia="仿宋_GB2312"/>
          <w:color w:val="auto"/>
          <w:szCs w:val="32"/>
          <w:lang w:eastAsia="zh-CN"/>
        </w:rPr>
        <w:t>、</w:t>
      </w:r>
      <w:r>
        <w:rPr>
          <w:rFonts w:hint="eastAsia" w:eastAsia="仿宋_GB2312"/>
          <w:color w:val="auto"/>
          <w:szCs w:val="32"/>
          <w:lang w:val="en-US" w:eastAsia="zh-CN"/>
        </w:rPr>
        <w:t>陕南美丽乡村、</w:t>
      </w:r>
      <w:r>
        <w:rPr>
          <w:rFonts w:hint="eastAsia" w:eastAsia="仿宋_GB2312"/>
          <w:color w:val="auto"/>
          <w:szCs w:val="32"/>
        </w:rPr>
        <w:t>两汉三国</w:t>
      </w:r>
      <w:r>
        <w:rPr>
          <w:rFonts w:hint="eastAsia" w:eastAsia="仿宋_GB2312"/>
          <w:color w:val="auto"/>
          <w:szCs w:val="32"/>
          <w:lang w:val="en-US" w:eastAsia="zh-CN"/>
        </w:rPr>
        <w:t>和红色历史</w:t>
      </w:r>
      <w:r>
        <w:rPr>
          <w:rFonts w:hint="eastAsia" w:eastAsia="仿宋_GB2312"/>
          <w:color w:val="auto"/>
          <w:szCs w:val="32"/>
        </w:rPr>
        <w:t>文化等资源</w:t>
      </w:r>
      <w:r>
        <w:rPr>
          <w:rFonts w:hint="eastAsia" w:eastAsia="仿宋_GB2312"/>
          <w:color w:val="auto"/>
          <w:szCs w:val="32"/>
          <w:lang w:val="en-US" w:eastAsia="zh-CN"/>
        </w:rPr>
        <w:t>优势</w:t>
      </w:r>
      <w:r>
        <w:rPr>
          <w:rFonts w:hint="eastAsia" w:eastAsia="仿宋_GB2312"/>
          <w:color w:val="auto"/>
          <w:szCs w:val="32"/>
        </w:rPr>
        <w:t>，</w:t>
      </w:r>
      <w:r>
        <w:rPr>
          <w:rFonts w:hint="eastAsia" w:eastAsia="仿宋_GB2312"/>
          <w:b w:val="0"/>
          <w:bCs w:val="0"/>
          <w:color w:val="auto"/>
          <w:szCs w:val="32"/>
        </w:rPr>
        <w:t>建设精品旅游景区</w:t>
      </w:r>
      <w:r>
        <w:rPr>
          <w:rFonts w:hint="eastAsia" w:eastAsia="仿宋_GB2312"/>
          <w:color w:val="auto"/>
          <w:szCs w:val="32"/>
          <w:lang w:eastAsia="zh-CN"/>
        </w:rPr>
        <w:t>，</w:t>
      </w:r>
      <w:r>
        <w:rPr>
          <w:rFonts w:hint="eastAsia" w:eastAsia="仿宋_GB2312"/>
          <w:color w:val="auto"/>
          <w:szCs w:val="32"/>
        </w:rPr>
        <w:t>发展山水风景游</w:t>
      </w:r>
      <w:r>
        <w:rPr>
          <w:rFonts w:hint="eastAsia" w:eastAsia="仿宋_GB2312"/>
          <w:color w:val="auto"/>
          <w:szCs w:val="32"/>
          <w:lang w:eastAsia="zh-CN"/>
        </w:rPr>
        <w:t>、</w:t>
      </w:r>
      <w:r>
        <w:rPr>
          <w:rFonts w:hint="eastAsia" w:eastAsia="仿宋_GB2312"/>
          <w:color w:val="auto"/>
          <w:szCs w:val="32"/>
        </w:rPr>
        <w:t>休闲度假游</w:t>
      </w:r>
      <w:r>
        <w:rPr>
          <w:rFonts w:hint="eastAsia" w:eastAsia="仿宋_GB2312"/>
          <w:color w:val="auto"/>
          <w:szCs w:val="32"/>
          <w:lang w:eastAsia="zh-CN"/>
        </w:rPr>
        <w:t>、</w:t>
      </w:r>
      <w:r>
        <w:rPr>
          <w:rFonts w:hint="eastAsia" w:eastAsia="仿宋_GB2312"/>
          <w:color w:val="auto"/>
          <w:szCs w:val="32"/>
        </w:rPr>
        <w:t>乡村体验游</w:t>
      </w:r>
      <w:r>
        <w:rPr>
          <w:rFonts w:hint="eastAsia" w:eastAsia="仿宋_GB2312"/>
          <w:color w:val="auto"/>
          <w:szCs w:val="32"/>
          <w:lang w:eastAsia="zh-CN"/>
        </w:rPr>
        <w:t>、</w:t>
      </w:r>
      <w:r>
        <w:rPr>
          <w:rFonts w:hint="eastAsia" w:eastAsia="仿宋_GB2312"/>
          <w:color w:val="auto"/>
          <w:szCs w:val="32"/>
        </w:rPr>
        <w:t>历史文化游。</w:t>
      </w:r>
      <w:r>
        <w:rPr>
          <w:rFonts w:hint="eastAsia" w:eastAsia="仿宋_GB2312"/>
          <w:b w:val="0"/>
          <w:bCs w:val="0"/>
          <w:color w:val="auto"/>
          <w:szCs w:val="32"/>
        </w:rPr>
        <w:t>强化</w:t>
      </w:r>
      <w:r>
        <w:rPr>
          <w:rFonts w:hint="eastAsia" w:eastAsia="仿宋_GB2312"/>
          <w:color w:val="auto"/>
          <w:szCs w:val="32"/>
        </w:rPr>
        <w:t>出境旅游干线和全域自驾游环线</w:t>
      </w:r>
      <w:r>
        <w:rPr>
          <w:rFonts w:hint="eastAsia" w:eastAsia="仿宋_GB2312"/>
          <w:color w:val="auto"/>
          <w:szCs w:val="32"/>
          <w:lang w:val="en-US" w:eastAsia="zh-CN"/>
        </w:rPr>
        <w:t>等</w:t>
      </w:r>
      <w:r>
        <w:rPr>
          <w:rFonts w:hint="eastAsia" w:eastAsia="仿宋_GB2312"/>
          <w:b w:val="0"/>
          <w:bCs w:val="0"/>
          <w:color w:val="auto"/>
          <w:szCs w:val="32"/>
        </w:rPr>
        <w:t>基础设施建设</w:t>
      </w:r>
      <w:r>
        <w:rPr>
          <w:rFonts w:hint="eastAsia" w:eastAsia="仿宋_GB2312"/>
          <w:b w:val="0"/>
          <w:bCs w:val="0"/>
          <w:color w:val="auto"/>
          <w:szCs w:val="32"/>
          <w:lang w:eastAsia="zh-CN"/>
        </w:rPr>
        <w:t>，</w:t>
      </w:r>
      <w:r>
        <w:rPr>
          <w:rFonts w:hint="eastAsia" w:eastAsia="仿宋_GB2312"/>
          <w:color w:val="auto"/>
          <w:szCs w:val="32"/>
        </w:rPr>
        <w:t>打通景区之间断头路和跨境旅游连接线，</w:t>
      </w:r>
      <w:r>
        <w:rPr>
          <w:rFonts w:hint="eastAsia" w:eastAsia="仿宋_GB2312"/>
          <w:color w:val="auto"/>
          <w:szCs w:val="32"/>
          <w:lang w:val="en-US" w:eastAsia="zh-CN"/>
        </w:rPr>
        <w:t>力争</w:t>
      </w:r>
      <w:r>
        <w:rPr>
          <w:rFonts w:hint="eastAsia" w:eastAsia="仿宋_GB2312"/>
          <w:color w:val="auto"/>
          <w:szCs w:val="32"/>
        </w:rPr>
        <w:t>区域内精品旅游景区</w:t>
      </w:r>
      <w:r>
        <w:rPr>
          <w:rFonts w:hint="eastAsia" w:eastAsia="仿宋_GB2312"/>
          <w:color w:val="auto"/>
          <w:szCs w:val="32"/>
          <w:lang w:val="en-US" w:eastAsia="zh-CN"/>
        </w:rPr>
        <w:t>实现</w:t>
      </w:r>
      <w:r>
        <w:rPr>
          <w:rFonts w:hint="eastAsia" w:eastAsia="仿宋_GB2312"/>
          <w:color w:val="auto"/>
          <w:szCs w:val="32"/>
        </w:rPr>
        <w:t>2小时转场</w:t>
      </w:r>
      <w:r>
        <w:rPr>
          <w:rFonts w:hint="eastAsia" w:eastAsia="仿宋_GB2312"/>
          <w:color w:val="auto"/>
          <w:szCs w:val="32"/>
          <w:lang w:eastAsia="zh-CN"/>
        </w:rPr>
        <w:t>。</w:t>
      </w:r>
      <w:r>
        <w:rPr>
          <w:rFonts w:hint="eastAsia" w:ascii="仿宋_GB2312" w:eastAsia="仿宋_GB2312"/>
          <w:color w:val="auto"/>
          <w:szCs w:val="32"/>
        </w:rPr>
        <w:t>依托“两横五纵”交通网络，着力打造覆盖陕南、贯通省际、串接全国的特色精品旅游线路</w:t>
      </w:r>
      <w:r>
        <w:rPr>
          <w:rFonts w:hint="eastAsia" w:ascii="仿宋_GB2312" w:eastAsia="仿宋_GB2312"/>
          <w:color w:val="auto"/>
          <w:szCs w:val="32"/>
          <w:lang w:eastAsia="zh-CN"/>
        </w:rPr>
        <w:t>，</w:t>
      </w:r>
      <w:r>
        <w:rPr>
          <w:rFonts w:hint="eastAsia" w:ascii="仿宋_GB2312" w:eastAsia="仿宋_GB2312"/>
          <w:color w:val="auto"/>
          <w:szCs w:val="32"/>
        </w:rPr>
        <w:t>重点</w:t>
      </w:r>
      <w:r>
        <w:rPr>
          <w:rFonts w:hint="eastAsia" w:ascii="仿宋_GB2312" w:eastAsia="仿宋_GB2312"/>
          <w:color w:val="auto"/>
          <w:szCs w:val="32"/>
          <w:lang w:val="en-US" w:eastAsia="zh-CN"/>
        </w:rPr>
        <w:t>建设</w:t>
      </w:r>
      <w:r>
        <w:rPr>
          <w:rFonts w:hint="eastAsia" w:ascii="仿宋_GB2312" w:eastAsia="仿宋_GB2312"/>
          <w:color w:val="auto"/>
          <w:szCs w:val="32"/>
        </w:rPr>
        <w:t>大秦岭山地休闲度假旅游线，大巴山原生态休闲度假旅游线，沿汉、丹江涉水旅游线，商於古道、两汉三国文化旅游线</w:t>
      </w:r>
      <w:r>
        <w:rPr>
          <w:rFonts w:hint="eastAsia" w:ascii="仿宋_GB2312" w:eastAsia="仿宋_GB2312"/>
          <w:color w:val="auto"/>
          <w:szCs w:val="32"/>
          <w:lang w:eastAsia="zh-CN"/>
        </w:rPr>
        <w:t>。</w:t>
      </w:r>
      <w:r>
        <w:rPr>
          <w:rFonts w:hint="eastAsia" w:ascii="仿宋_GB2312" w:eastAsia="仿宋_GB2312"/>
          <w:color w:val="auto"/>
          <w:szCs w:val="32"/>
        </w:rPr>
        <w:t>加强与周边城市的区域旅游合作，</w:t>
      </w:r>
      <w:r>
        <w:rPr>
          <w:rFonts w:hint="eastAsia" w:ascii="仿宋_GB2312" w:eastAsia="仿宋_GB2312"/>
          <w:color w:val="auto"/>
          <w:szCs w:val="32"/>
          <w:lang w:val="en-US" w:eastAsia="zh-CN"/>
        </w:rPr>
        <w:t>建设</w:t>
      </w:r>
      <w:r>
        <w:rPr>
          <w:rFonts w:hint="eastAsia" w:ascii="仿宋_GB2312" w:eastAsia="仿宋_GB2312"/>
          <w:color w:val="auto"/>
          <w:szCs w:val="32"/>
        </w:rPr>
        <w:t>串联武汉、重庆、郑州、成都、西安的五条省际区域旅游线路和连接丝绸之路沿线的国际旅游线路。</w:t>
      </w:r>
      <w:r>
        <w:rPr>
          <w:rFonts w:hint="eastAsia" w:eastAsia="仿宋_GB2312"/>
          <w:b w:val="0"/>
          <w:bCs w:val="0"/>
          <w:color w:val="auto"/>
          <w:szCs w:val="32"/>
        </w:rPr>
        <w:t>完善旅游服务体系</w:t>
      </w:r>
      <w:r>
        <w:rPr>
          <w:rFonts w:hint="eastAsia" w:ascii="仿宋_GB2312" w:eastAsia="仿宋_GB2312"/>
          <w:color w:val="auto"/>
          <w:szCs w:val="32"/>
        </w:rPr>
        <w:t>，</w:t>
      </w:r>
      <w:r>
        <w:rPr>
          <w:rFonts w:hint="eastAsia" w:eastAsia="仿宋_GB2312"/>
          <w:color w:val="auto"/>
          <w:szCs w:val="32"/>
          <w:lang w:val="en-US" w:eastAsia="zh-CN"/>
        </w:rPr>
        <w:t>推进</w:t>
      </w:r>
      <w:r>
        <w:rPr>
          <w:rFonts w:hint="eastAsia" w:eastAsia="仿宋_GB2312"/>
          <w:color w:val="auto"/>
          <w:szCs w:val="32"/>
        </w:rPr>
        <w:t>市、县、景区旅游咨询服务中心和咨询点、自驾游营地等设施建设</w:t>
      </w:r>
      <w:r>
        <w:rPr>
          <w:rFonts w:hint="eastAsia" w:eastAsia="仿宋_GB2312"/>
          <w:color w:val="auto"/>
          <w:szCs w:val="32"/>
          <w:lang w:eastAsia="zh-CN"/>
        </w:rPr>
        <w:t>，</w:t>
      </w:r>
      <w:r>
        <w:rPr>
          <w:color w:val="auto"/>
        </w:rPr>
        <w:t>加快</w:t>
      </w:r>
      <w:r>
        <w:rPr>
          <w:rFonts w:hint="eastAsia"/>
          <w:color w:val="auto"/>
          <w:lang w:val="en-US" w:eastAsia="zh-CN"/>
        </w:rPr>
        <w:t>实施</w:t>
      </w:r>
      <w:r>
        <w:rPr>
          <w:rFonts w:hint="eastAsia"/>
          <w:color w:val="auto"/>
        </w:rPr>
        <w:t>“</w:t>
      </w:r>
      <w:r>
        <w:rPr>
          <w:rFonts w:hint="eastAsia"/>
          <w:color w:val="auto"/>
          <w:lang w:val="en-US" w:eastAsia="zh-CN"/>
        </w:rPr>
        <w:t>互联网+</w:t>
      </w:r>
      <w:r>
        <w:rPr>
          <w:color w:val="auto"/>
        </w:rPr>
        <w:t>旅游</w:t>
      </w:r>
      <w:r>
        <w:rPr>
          <w:rFonts w:hint="eastAsia"/>
          <w:color w:val="auto"/>
        </w:rPr>
        <w:t>”</w:t>
      </w:r>
      <w:r>
        <w:rPr>
          <w:rFonts w:hint="eastAsia"/>
          <w:color w:val="auto"/>
          <w:lang w:val="en-US" w:eastAsia="zh-CN"/>
        </w:rPr>
        <w:t>行动计划</w:t>
      </w:r>
      <w:r>
        <w:rPr>
          <w:rFonts w:hint="eastAsia"/>
          <w:color w:val="auto"/>
        </w:rPr>
        <w:t>，</w:t>
      </w:r>
      <w:r>
        <w:rPr>
          <w:color w:val="auto"/>
          <w:szCs w:val="21"/>
        </w:rPr>
        <w:t>成立</w:t>
      </w:r>
      <w:r>
        <w:rPr>
          <w:rFonts w:hint="eastAsia"/>
          <w:color w:val="auto"/>
          <w:szCs w:val="21"/>
          <w:lang w:val="en-US" w:eastAsia="zh-CN"/>
        </w:rPr>
        <w:t>陕南</w:t>
      </w:r>
      <w:r>
        <w:rPr>
          <w:color w:val="auto"/>
          <w:szCs w:val="21"/>
        </w:rPr>
        <w:t>旅游信息调度中心，建设电子商务平台，推动旅游在线、网络营销等信息</w:t>
      </w:r>
      <w:r>
        <w:rPr>
          <w:rFonts w:hint="eastAsia"/>
          <w:color w:val="auto"/>
          <w:szCs w:val="21"/>
          <w:lang w:val="en-US" w:eastAsia="zh-CN"/>
        </w:rPr>
        <w:t>化</w:t>
      </w:r>
      <w:r>
        <w:rPr>
          <w:color w:val="auto"/>
          <w:szCs w:val="21"/>
        </w:rPr>
        <w:t>服务</w:t>
      </w:r>
      <w:r>
        <w:rPr>
          <w:rFonts w:hint="eastAsia"/>
          <w:color w:val="auto"/>
          <w:szCs w:val="21"/>
          <w:lang w:eastAsia="zh-CN"/>
        </w:rPr>
        <w:t>，</w:t>
      </w:r>
      <w:r>
        <w:rPr>
          <w:rFonts w:hint="eastAsia" w:ascii="仿宋_GB2312" w:eastAsia="仿宋_GB2312"/>
          <w:color w:val="auto"/>
          <w:szCs w:val="32"/>
          <w:lang w:val="en-US" w:eastAsia="zh-CN"/>
        </w:rPr>
        <w:t>提升</w:t>
      </w:r>
      <w:r>
        <w:rPr>
          <w:rFonts w:hint="eastAsia" w:ascii="仿宋_GB2312" w:eastAsia="仿宋_GB2312"/>
          <w:color w:val="auto"/>
          <w:szCs w:val="32"/>
        </w:rPr>
        <w:t>旅游</w:t>
      </w:r>
      <w:r>
        <w:rPr>
          <w:rFonts w:hint="eastAsia" w:ascii="仿宋_GB2312" w:eastAsia="仿宋_GB2312"/>
          <w:color w:val="auto"/>
          <w:szCs w:val="32"/>
          <w:lang w:val="en-US" w:eastAsia="zh-CN"/>
        </w:rPr>
        <w:t>综合服务水平</w:t>
      </w:r>
      <w:r>
        <w:rPr>
          <w:rFonts w:hint="eastAsia"/>
          <w:color w:val="auto"/>
          <w:szCs w:val="21"/>
        </w:rPr>
        <w:t>。</w:t>
      </w:r>
    </w:p>
    <w:p>
      <w:pPr>
        <w:spacing w:after="156" w:afterLines="50" w:line="610" w:lineRule="exact"/>
        <w:ind w:firstLine="643"/>
        <w:rPr>
          <w:rFonts w:hint="eastAsia"/>
          <w:color w:val="auto"/>
          <w:szCs w:val="21"/>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4" w:type="dxa"/>
            <w:noWrap w:val="0"/>
            <w:vAlign w:val="top"/>
          </w:tcPr>
          <w:p>
            <w:pPr>
              <w:spacing w:before="156" w:beforeLines="50" w:after="156" w:afterLines="50" w:line="400" w:lineRule="exact"/>
              <w:ind w:firstLine="0" w:firstLineChars="0"/>
              <w:jc w:val="center"/>
              <w:rPr>
                <w:rFonts w:hint="eastAsia" w:ascii="仿宋_GB2312" w:hAnsi="宋体" w:eastAsia="仿宋_GB2312"/>
                <w:color w:val="auto"/>
                <w:sz w:val="28"/>
                <w:szCs w:val="28"/>
              </w:rPr>
            </w:pPr>
            <w:r>
              <w:rPr>
                <w:rFonts w:hint="eastAsia" w:ascii="仿宋_GB2312" w:hAnsi="仿宋" w:eastAsia="仿宋_GB2312"/>
                <w:b/>
                <w:color w:val="auto"/>
                <w:sz w:val="28"/>
                <w:szCs w:val="28"/>
              </w:rPr>
              <w:t>专栏6  十一条精品旅游线路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2"/>
              <w:jc w:val="left"/>
              <w:rPr>
                <w:rFonts w:hint="eastAsia" w:ascii="仿宋_GB2312" w:hAnsi="楷体" w:eastAsia="仿宋_GB2312" w:cs="楷体"/>
                <w:color w:val="auto"/>
                <w:sz w:val="24"/>
              </w:rPr>
            </w:pPr>
            <w:r>
              <w:rPr>
                <w:rFonts w:hint="eastAsia" w:ascii="仿宋_GB2312" w:hAnsi="楷体" w:eastAsia="仿宋_GB2312" w:cs="楷体"/>
                <w:b/>
                <w:color w:val="auto"/>
                <w:sz w:val="24"/>
              </w:rPr>
              <w:t>西成客专旅游线：</w:t>
            </w:r>
            <w:r>
              <w:rPr>
                <w:rFonts w:hint="eastAsia" w:ascii="仿宋_GB2312" w:hAnsi="楷体" w:eastAsia="仿宋_GB2312" w:cs="楷体"/>
                <w:color w:val="auto"/>
                <w:sz w:val="24"/>
              </w:rPr>
              <w:t>西安－佛坪（熊猫谷）－洋县（长青-华阳）－城固（张骞墓、万亩桔园、南沙湖等）－汉</w:t>
            </w:r>
            <w:r>
              <w:rPr>
                <w:rFonts w:hint="eastAsia" w:ascii="仿宋_GB2312" w:hAnsi="楷体" w:eastAsia="仿宋_GB2312" w:cs="楷体"/>
                <w:color w:val="auto"/>
                <w:sz w:val="24"/>
                <w:lang w:eastAsia="zh-CN"/>
              </w:rPr>
              <w:t>台</w:t>
            </w:r>
            <w:r>
              <w:rPr>
                <w:rFonts w:hint="eastAsia" w:ascii="仿宋_GB2312" w:hAnsi="楷体" w:eastAsia="仿宋_GB2312" w:cs="楷体"/>
                <w:color w:val="auto"/>
                <w:sz w:val="24"/>
              </w:rPr>
              <w:t>（汉台博物馆）－宁强（青木川古镇）</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四川（都江堰、九寨沟、乐山大佛）；</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商於古道旅游线：</w:t>
            </w:r>
            <w:r>
              <w:rPr>
                <w:rFonts w:hint="eastAsia" w:ascii="仿宋_GB2312" w:hAnsi="楷体" w:eastAsia="仿宋_GB2312" w:cs="楷体"/>
                <w:color w:val="auto"/>
                <w:sz w:val="24"/>
              </w:rPr>
              <w:t>西安-商州（牧护关、仙娥湖、佛诞地）-洛南（老君山）-丹凤（凤冠山、棣花景区、丹江漂流、武关）-商南（金丝峡、闯王寨）</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河南(西峡伏牛山老界岭·恐龙遗址园、尧山—中原大佛)；</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汉江旅游线：</w:t>
            </w:r>
            <w:r>
              <w:rPr>
                <w:rFonts w:hint="eastAsia" w:ascii="仿宋_GB2312" w:hAnsi="楷体" w:eastAsia="仿宋_GB2312" w:cs="楷体"/>
                <w:color w:val="auto"/>
                <w:sz w:val="24"/>
              </w:rPr>
              <w:t>西安-汉</w:t>
            </w:r>
            <w:r>
              <w:rPr>
                <w:rFonts w:hint="eastAsia" w:ascii="仿宋_GB2312" w:hAnsi="楷体" w:eastAsia="仿宋_GB2312" w:cs="楷体"/>
                <w:color w:val="auto"/>
                <w:sz w:val="24"/>
                <w:lang w:eastAsia="zh-CN"/>
              </w:rPr>
              <w:t>台</w:t>
            </w:r>
            <w:r>
              <w:rPr>
                <w:rFonts w:hint="eastAsia" w:ascii="仿宋_GB2312" w:hAnsi="楷体" w:eastAsia="仿宋_GB2312" w:cs="楷体"/>
                <w:color w:val="auto"/>
                <w:sz w:val="24"/>
              </w:rPr>
              <w:t>（古汉台）-城固（张骞墓、桔园）-洋县（长青-华阳、朱鹮梨园）-石泉（后柳水乡、中坝大峡谷、燕翔洞）-汉阴（凤堰古梯田）-紫阳（文笔山、北五省会馆）-</w:t>
            </w:r>
            <w:r>
              <w:rPr>
                <w:rFonts w:hint="eastAsia" w:ascii="仿宋_GB2312" w:hAnsi="楷体" w:eastAsia="仿宋_GB2312" w:cs="楷体"/>
                <w:color w:val="auto"/>
                <w:sz w:val="24"/>
                <w:lang w:eastAsia="zh-CN"/>
              </w:rPr>
              <w:t>汉滨</w:t>
            </w:r>
            <w:r>
              <w:rPr>
                <w:rFonts w:hint="eastAsia" w:ascii="仿宋_GB2312" w:hAnsi="楷体" w:eastAsia="仿宋_GB2312" w:cs="楷体"/>
                <w:color w:val="auto"/>
                <w:sz w:val="24"/>
              </w:rPr>
              <w:t>（瀛湖、香溪洞）-旬阳（太极城、蜀河古镇）-白河（桥儿沟、庙山寨）</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湖北（三峡大坝、武当山、神农架）；</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西康高速旅游线：</w:t>
            </w:r>
            <w:r>
              <w:rPr>
                <w:rFonts w:hint="eastAsia" w:ascii="仿宋_GB2312" w:hAnsi="楷体" w:eastAsia="仿宋_GB2312" w:cs="楷体"/>
                <w:color w:val="auto"/>
                <w:sz w:val="24"/>
              </w:rPr>
              <w:t>西安-柞水（牛背梁、柞水溶洞）-镇安（木王、塔云山）-</w:t>
            </w:r>
            <w:r>
              <w:rPr>
                <w:rFonts w:hint="eastAsia" w:ascii="仿宋_GB2312" w:hAnsi="楷体" w:eastAsia="仿宋_GB2312" w:cs="楷体"/>
                <w:color w:val="auto"/>
                <w:sz w:val="24"/>
                <w:lang w:eastAsia="zh-CN"/>
              </w:rPr>
              <w:t>汉滨</w:t>
            </w:r>
            <w:r>
              <w:rPr>
                <w:rFonts w:hint="eastAsia" w:ascii="仿宋_GB2312" w:hAnsi="楷体" w:eastAsia="仿宋_GB2312" w:cs="楷体"/>
                <w:color w:val="auto"/>
                <w:sz w:val="24"/>
              </w:rPr>
              <w:t>（瀛湖、香溪洞、双龙生态旅游景区）-岚皋（南宫山）-平利（天书峡）-镇坪（飞渡峡）</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重庆（</w:t>
            </w:r>
            <w:r>
              <w:rPr>
                <w:rFonts w:hint="eastAsia" w:ascii="仿宋_GB2312" w:hAnsi="楷体" w:eastAsia="仿宋_GB2312" w:cs="楷体"/>
                <w:bCs/>
                <w:color w:val="auto"/>
                <w:sz w:val="24"/>
              </w:rPr>
              <w:t>大足石刻、巫山小三峡、酉阳桃花源</w:t>
            </w:r>
            <w:r>
              <w:rPr>
                <w:rFonts w:hint="eastAsia" w:ascii="仿宋_GB2312" w:hAnsi="楷体" w:eastAsia="仿宋_GB2312" w:cs="楷体"/>
                <w:color w:val="auto"/>
                <w:sz w:val="24"/>
              </w:rPr>
              <w:t>）；</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西汉高速旅游线：</w:t>
            </w:r>
            <w:r>
              <w:rPr>
                <w:rFonts w:hint="eastAsia" w:ascii="仿宋_GB2312" w:hAnsi="楷体" w:eastAsia="仿宋_GB2312" w:cs="楷体"/>
                <w:color w:val="auto"/>
                <w:sz w:val="24"/>
              </w:rPr>
              <w:t>西安-宁陕（上坝河、筒车湾、悠然山庄）-佛坪（熊猫谷）-洋县（朱鹮梨园、华阳）-城固（桔园、南沙湖、张骞墓）-汉</w:t>
            </w:r>
            <w:r>
              <w:rPr>
                <w:rFonts w:hint="eastAsia" w:ascii="仿宋_GB2312" w:hAnsi="楷体" w:eastAsia="仿宋_GB2312" w:cs="楷体"/>
                <w:color w:val="auto"/>
                <w:sz w:val="24"/>
                <w:lang w:eastAsia="zh-CN"/>
              </w:rPr>
              <w:t>台</w:t>
            </w:r>
            <w:r>
              <w:rPr>
                <w:rFonts w:hint="eastAsia" w:ascii="仿宋_GB2312" w:hAnsi="楷体" w:eastAsia="仿宋_GB2312" w:cs="楷体"/>
                <w:color w:val="auto"/>
                <w:sz w:val="24"/>
              </w:rPr>
              <w:t>（古汉台）-南郑（黎坪）</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重庆（南川金佛山神龙峡、万盛黑山谷、武隆喀斯特）；</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宝汉高速旅游线：</w:t>
            </w:r>
            <w:r>
              <w:rPr>
                <w:rFonts w:hint="eastAsia" w:ascii="仿宋_GB2312" w:hAnsi="楷体" w:eastAsia="仿宋_GB2312" w:cs="楷体"/>
                <w:color w:val="auto"/>
                <w:sz w:val="24"/>
              </w:rPr>
              <w:t>宝鸡-留坝（张良庙-紫柏山）-勉县（武侯祠、武侯墓、定军山）-南郑（黎坪、大汉山）-宁强（青木川）</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四川（都江堰、九寨沟、乐山大佛）；</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秦岭东部旅游线：</w:t>
            </w:r>
            <w:r>
              <w:rPr>
                <w:rFonts w:hint="eastAsia" w:ascii="仿宋_GB2312" w:hAnsi="楷体" w:eastAsia="仿宋_GB2312" w:cs="楷体"/>
                <w:color w:val="auto"/>
                <w:sz w:val="24"/>
              </w:rPr>
              <w:t>西安-宁陕（筒车湾）-镇安（木王、塔云山）-柞水（溶洞、牛背梁、凤凰古镇）-山阳（天竺山、漫川古镇）-商南（金丝峡）</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河南（西峡伏牛山老界岭·恐龙遗址园、尧山—中原大佛）；</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秦岭西部旅游线：</w:t>
            </w:r>
            <w:r>
              <w:rPr>
                <w:rFonts w:hint="eastAsia" w:ascii="仿宋_GB2312" w:hAnsi="楷体" w:eastAsia="仿宋_GB2312" w:cs="楷体"/>
                <w:color w:val="auto"/>
                <w:sz w:val="24"/>
              </w:rPr>
              <w:t>西安-宁陕（筒车湾、鬼谷岭、后柳水乡）-洋县（朱鹮梨园、华阳）-城固（张骞墓）-勉县（定军山、武侯祠、武侯墓）-略阳（五龙洞）</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甘肃（嘉峪关、天水麦积山、平凉崆峒山）；</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210国道旅游线：</w:t>
            </w:r>
            <w:r>
              <w:rPr>
                <w:rFonts w:hint="eastAsia" w:ascii="仿宋_GB2312" w:hAnsi="楷体" w:eastAsia="仿宋_GB2312" w:cs="楷体"/>
                <w:color w:val="auto"/>
                <w:sz w:val="24"/>
              </w:rPr>
              <w:t>西安-宁陕（筒车湾）-石泉（中坝大峡谷、燕翔洞）-西乡（樱桃沟、鹿龄寺）-镇巴（白天河风景区、苗民风情）</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重庆（</w:t>
            </w:r>
            <w:r>
              <w:rPr>
                <w:rFonts w:hint="eastAsia" w:ascii="仿宋_GB2312" w:hAnsi="楷体" w:eastAsia="仿宋_GB2312" w:cs="楷体"/>
                <w:bCs/>
                <w:color w:val="auto"/>
                <w:sz w:val="24"/>
              </w:rPr>
              <w:t>巫山小三峡、</w:t>
            </w:r>
            <w:r>
              <w:rPr>
                <w:rFonts w:hint="eastAsia" w:ascii="仿宋_GB2312" w:hAnsi="楷体" w:eastAsia="仿宋_GB2312" w:cs="楷体"/>
                <w:color w:val="auto"/>
                <w:sz w:val="24"/>
              </w:rPr>
              <w:t>武隆喀斯特、万盛黑山谷）；</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color w:val="auto"/>
                <w:sz w:val="24"/>
              </w:rPr>
              <w:t>大巴山旅游线：</w:t>
            </w:r>
            <w:r>
              <w:rPr>
                <w:rFonts w:hint="eastAsia" w:ascii="仿宋_GB2312" w:hAnsi="楷体" w:eastAsia="仿宋_GB2312" w:cs="楷体"/>
                <w:color w:val="auto"/>
                <w:sz w:val="24"/>
              </w:rPr>
              <w:t>宁强（青木川）-南郑（黎坪）-镇巴（白天河风景区）-岚皋（南宫山）-镇坪（飞渡峡、岱安河）-平利（龙头村、天书峡）</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湖北（三峡大坝、武当山、神农架）。</w:t>
            </w:r>
          </w:p>
          <w:p>
            <w:pPr>
              <w:spacing w:line="400" w:lineRule="exact"/>
              <w:ind w:firstLine="482"/>
              <w:rPr>
                <w:rFonts w:hint="eastAsia" w:ascii="仿宋_GB2312" w:hAnsi="楷体" w:eastAsia="仿宋_GB2312" w:cs="楷体"/>
                <w:b/>
                <w:color w:val="auto"/>
                <w:sz w:val="24"/>
              </w:rPr>
            </w:pPr>
            <w:r>
              <w:rPr>
                <w:rFonts w:hint="eastAsia" w:ascii="仿宋_GB2312" w:hAnsi="楷体" w:eastAsia="仿宋_GB2312" w:cs="楷体"/>
                <w:b/>
                <w:color w:val="auto"/>
                <w:sz w:val="24"/>
              </w:rPr>
              <w:t>十天高速旅游线：</w:t>
            </w:r>
            <w:r>
              <w:rPr>
                <w:rFonts w:hint="eastAsia" w:ascii="仿宋_GB2312" w:hAnsi="楷体" w:eastAsia="仿宋_GB2312" w:cs="楷体"/>
                <w:color w:val="auto"/>
                <w:sz w:val="24"/>
              </w:rPr>
              <w:t>甘肃（敦煌莫高窟、嘉峪关）</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略阳（五龙洞）-勉县（定军山、武侯祠、武侯墓）-汉</w:t>
            </w:r>
            <w:r>
              <w:rPr>
                <w:rFonts w:hint="eastAsia" w:ascii="仿宋_GB2312" w:hAnsi="楷体" w:eastAsia="仿宋_GB2312" w:cs="楷体"/>
                <w:color w:val="auto"/>
                <w:sz w:val="24"/>
                <w:lang w:eastAsia="zh-CN"/>
              </w:rPr>
              <w:t>台</w:t>
            </w:r>
            <w:r>
              <w:rPr>
                <w:rFonts w:hint="eastAsia" w:ascii="仿宋_GB2312" w:hAnsi="楷体" w:eastAsia="仿宋_GB2312" w:cs="楷体"/>
                <w:color w:val="auto"/>
                <w:sz w:val="24"/>
              </w:rPr>
              <w:t>（古汉台）-城固（桔园、张骞墓）-西乡（樱桃沟、朱</w:t>
            </w:r>
            <w:r>
              <w:rPr>
                <w:rFonts w:hint="eastAsia" w:ascii="仿宋_GB2312" w:hAnsi="宋体" w:eastAsia="宋体" w:cs="宋体"/>
                <w:color w:val="auto"/>
                <w:sz w:val="24"/>
              </w:rPr>
              <w:t>鹮</w:t>
            </w:r>
            <w:r>
              <w:rPr>
                <w:rFonts w:hint="eastAsia" w:ascii="仿宋_GB2312" w:hAnsi="楷体_GB2312" w:eastAsia="仿宋_GB2312" w:cs="楷体_GB2312"/>
                <w:color w:val="auto"/>
                <w:sz w:val="24"/>
              </w:rPr>
              <w:t>梨园</w:t>
            </w:r>
            <w:r>
              <w:rPr>
                <w:rFonts w:hint="eastAsia" w:ascii="仿宋_GB2312" w:hAnsi="楷体" w:eastAsia="仿宋_GB2312" w:cs="楷体"/>
                <w:color w:val="auto"/>
                <w:sz w:val="24"/>
              </w:rPr>
              <w:t>）-石泉（后柳水乡、中坝大峡谷、燕翔洞）-汉阴（凤堰古梯田、龙岗生态旅游区）-</w:t>
            </w:r>
            <w:r>
              <w:rPr>
                <w:rFonts w:hint="eastAsia" w:ascii="仿宋_GB2312" w:hAnsi="楷体" w:eastAsia="仿宋_GB2312" w:cs="楷体"/>
                <w:color w:val="auto"/>
                <w:sz w:val="24"/>
                <w:lang w:eastAsia="zh-CN"/>
              </w:rPr>
              <w:t>汉滨</w:t>
            </w:r>
            <w:r>
              <w:rPr>
                <w:rFonts w:hint="eastAsia" w:ascii="仿宋_GB2312" w:hAnsi="楷体" w:eastAsia="仿宋_GB2312" w:cs="楷体"/>
                <w:color w:val="auto"/>
                <w:sz w:val="24"/>
              </w:rPr>
              <w:t>（瀛湖）-旬阳（太极城）-白河（桥儿沟、庙山寨）</w:t>
            </w:r>
            <w:r>
              <w:rPr>
                <w:rFonts w:hint="eastAsia" w:ascii="仿宋_GB2312" w:hAnsi="Cambria Math" w:eastAsia="仿宋_GB2312" w:cs="Cambria Math"/>
                <w:b/>
                <w:color w:val="auto"/>
                <w:kern w:val="0"/>
                <w:sz w:val="24"/>
              </w:rPr>
              <w:t>⇋</w:t>
            </w:r>
            <w:r>
              <w:rPr>
                <w:rFonts w:hint="eastAsia" w:ascii="仿宋_GB2312" w:hAnsi="楷体" w:eastAsia="仿宋_GB2312" w:cs="楷体"/>
                <w:color w:val="auto"/>
                <w:sz w:val="24"/>
              </w:rPr>
              <w:t>湖北（三峡大坝、武当山、神农架）</w:t>
            </w:r>
          </w:p>
        </w:tc>
      </w:tr>
    </w:tbl>
    <w:p>
      <w:pPr>
        <w:spacing w:after="156" w:afterLines="50" w:line="610" w:lineRule="exact"/>
        <w:ind w:firstLine="643"/>
        <w:rPr>
          <w:rFonts w:hint="eastAsia" w:ascii="仿宋_GB2312" w:eastAsia="仿宋_GB2312"/>
          <w:color w:val="auto"/>
          <w:szCs w:val="3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17" w:type="dxa"/>
            <w:noWrap w:val="0"/>
            <w:vAlign w:val="top"/>
          </w:tcPr>
          <w:p>
            <w:pPr>
              <w:spacing w:before="156" w:beforeLines="50" w:after="156" w:afterLines="50" w:line="40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专栏7  重点建设旅游景区（点）</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生态旅游景区（点）</w:t>
            </w:r>
            <w:r>
              <w:rPr>
                <w:rFonts w:hint="eastAsia" w:ascii="仿宋_GB2312" w:hAnsi="仿宋" w:eastAsia="仿宋_GB2312"/>
                <w:color w:val="auto"/>
                <w:sz w:val="24"/>
              </w:rPr>
              <w:t>：汉中市黎坪、朱鹮梨园、华阳、紫柏山、五龙洞、天台山、龙头山、云雾山、镇巴木竹林，安康市瀛湖、南宫山、香溪洞、中坝大峡谷、燕翔洞、天书峡、飞渡峡-黄安坝、筒车湾休闲景区、悠然山庄、上坝河省级旅游度假区、中庄逍遥谷，商洛市金丝峡、牛背梁、柞水溶洞、天竺山、塔云山、木王等生态旅游区。</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历史文化景区（点）</w:t>
            </w:r>
            <w:r>
              <w:rPr>
                <w:rFonts w:hint="eastAsia" w:ascii="仿宋_GB2312" w:hAnsi="仿宋" w:eastAsia="仿宋_GB2312"/>
                <w:color w:val="auto"/>
                <w:sz w:val="24"/>
              </w:rPr>
              <w:t>：汉中古汉台、拜将坛、张骞墓、武侯墓、武侯祠、张良庙、青木川古镇，安康汉滨恒口船商文化旅游古镇、旬阳中华太极城、蜀河古镇、白河桥儿沟文化旅游区、汉阴凤堰古梯田、双河口古镇、紫阳北五省会馆、文笔山道教养生园、镇坪古盐道、石泉云雾山鬼谷岭，商洛商於古道、棣花文化旅游景区、山阳漫川古镇、柞水凤凰古镇等历史文化景区。</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红色旅游景区（点）</w:t>
            </w:r>
            <w:r>
              <w:rPr>
                <w:rFonts w:hint="eastAsia" w:ascii="仿宋_GB2312" w:hAnsi="仿宋" w:eastAsia="仿宋_GB2312"/>
                <w:color w:val="auto"/>
                <w:sz w:val="24"/>
              </w:rPr>
              <w:t>：重点建设南郑县川陕革命根据地纪念馆、洋县华阳红二十五军司令部、西乡县红二十九军革命旧址、安康牛蹄岭战斗遗址、旬阳县红军纪念馆、宁陕江口三烈士陵园、汉阴县沈氏中国优秀家训文化教育基地、紫阳县红色记忆旅游区、留坝县江口镇红二十五军军部旧址、川陕革命根据地镇巴烈士陵园等红色景区。</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乡村游、自驾游景区（点）：</w:t>
            </w:r>
            <w:r>
              <w:rPr>
                <w:rFonts w:hint="eastAsia" w:ascii="仿宋_GB2312" w:hAnsi="仿宋" w:eastAsia="仿宋_GB2312"/>
                <w:color w:val="auto"/>
                <w:sz w:val="24"/>
              </w:rPr>
              <w:t>汉中市城固桔园、西乡樱桃沟、南郑红寺湖、勉县黄家沟村、汉台花果村等，安康市汉滨流水星火传奇、县河旅游村、茨沟老庄旅游村、紫阳茶山、石泉秦巴水乡汽车营地、杨柳新村、明清古街、子午银滩景区、宁陕皇冠森林旅游度假小镇、蒿沟旅游村、岚皋千层河神河源户外运动基地、四季旅游村、宏大旅游村、平利三里垭贡茶基地、龙头旅游村、旬阳水泉坪村、自然国心鸡心岭、镇坪天生桥等，商洛市镇安云盖寺、商南任家沟、洛南馒头山生态园、柞水朱家湾村、山阳前店子村等休闲度假区。</w:t>
            </w:r>
          </w:p>
        </w:tc>
      </w:tr>
    </w:tbl>
    <w:p>
      <w:pPr>
        <w:spacing w:line="600" w:lineRule="exact"/>
        <w:ind w:firstLine="643"/>
        <w:rPr>
          <w:color w:val="auto"/>
          <w:szCs w:val="21"/>
        </w:rPr>
      </w:pPr>
      <w:r>
        <w:rPr>
          <w:rFonts w:hint="eastAsia"/>
          <w:b/>
          <w:bCs/>
          <w:color w:val="auto"/>
          <w:szCs w:val="21"/>
          <w:lang w:val="en-US" w:eastAsia="zh-CN"/>
        </w:rPr>
        <w:t>培育健康养老</w:t>
      </w:r>
      <w:r>
        <w:rPr>
          <w:rFonts w:hint="eastAsia"/>
          <w:b/>
          <w:bCs/>
          <w:color w:val="auto"/>
          <w:szCs w:val="21"/>
          <w:lang w:eastAsia="zh-CN"/>
        </w:rPr>
        <w:t>产业。</w:t>
      </w:r>
      <w:r>
        <w:rPr>
          <w:rFonts w:hint="eastAsia" w:ascii="仿宋_GB2312" w:eastAsia="仿宋_GB2312"/>
          <w:color w:val="auto"/>
          <w:sz w:val="32"/>
          <w:szCs w:val="32"/>
        </w:rPr>
        <w:t>依托生态、区位、资源优势，</w:t>
      </w:r>
      <w:r>
        <w:rPr>
          <w:rFonts w:hint="eastAsia"/>
          <w:color w:val="auto"/>
          <w:szCs w:val="21"/>
        </w:rPr>
        <w:t>大力</w:t>
      </w:r>
      <w:r>
        <w:rPr>
          <w:color w:val="auto"/>
          <w:szCs w:val="21"/>
        </w:rPr>
        <w:t>发展养老产业</w:t>
      </w:r>
      <w:r>
        <w:rPr>
          <w:rFonts w:hint="eastAsia"/>
          <w:color w:val="auto"/>
          <w:szCs w:val="21"/>
        </w:rPr>
        <w:t>，开发老年产品，</w:t>
      </w:r>
      <w:r>
        <w:rPr>
          <w:color w:val="auto"/>
          <w:szCs w:val="21"/>
        </w:rPr>
        <w:t>为居家老人提供助餐、助浴、助洁、助医等服务</w:t>
      </w:r>
      <w:r>
        <w:rPr>
          <w:rFonts w:hint="eastAsia"/>
          <w:color w:val="auto"/>
          <w:szCs w:val="21"/>
          <w:lang w:eastAsia="zh-CN"/>
        </w:rPr>
        <w:t>，</w:t>
      </w:r>
      <w:r>
        <w:rPr>
          <w:rFonts w:hint="eastAsia" w:ascii="仿宋_GB2312" w:eastAsia="仿宋_GB2312"/>
          <w:color w:val="auto"/>
          <w:sz w:val="32"/>
          <w:szCs w:val="32"/>
        </w:rPr>
        <w:t>建成一批集理疗康复、康体健身、医疗旅游、智慧养生、养老保健及休闲度假为一体的生态智慧健康养老产业园区。</w:t>
      </w:r>
      <w:r>
        <w:rPr>
          <w:rFonts w:hint="eastAsia" w:ascii="仿宋_GB2312" w:hAnsi="仿宋_GB2312" w:eastAsia="仿宋_GB2312" w:cs="仿宋_GB2312"/>
          <w:color w:val="auto"/>
          <w:kern w:val="0"/>
          <w:sz w:val="32"/>
          <w:szCs w:val="32"/>
          <w:lang w:bidi="ar"/>
        </w:rPr>
        <w:t>坚持医养结合，</w:t>
      </w:r>
      <w:r>
        <w:rPr>
          <w:color w:val="auto"/>
          <w:szCs w:val="21"/>
        </w:rPr>
        <w:t>建立健全医疗机构与养老机构的协作机制</w:t>
      </w:r>
      <w:r>
        <w:rPr>
          <w:rFonts w:hint="eastAsia"/>
          <w:color w:val="auto"/>
          <w:szCs w:val="21"/>
        </w:rPr>
        <w:t>，支持养老机构开办老年病医院、康复医院、护理院等</w:t>
      </w:r>
      <w:r>
        <w:rPr>
          <w:rFonts w:hint="eastAsia"/>
          <w:color w:val="auto"/>
          <w:szCs w:val="21"/>
          <w:lang w:eastAsia="zh-CN"/>
        </w:rPr>
        <w:t>，</w:t>
      </w:r>
      <w:r>
        <w:rPr>
          <w:rFonts w:hint="eastAsia" w:ascii="仿宋_GB2312" w:hAnsi="仿宋_GB2312" w:eastAsia="仿宋_GB2312" w:cs="仿宋_GB2312"/>
          <w:color w:val="auto"/>
          <w:kern w:val="0"/>
          <w:sz w:val="32"/>
          <w:szCs w:val="32"/>
          <w:lang w:bidi="ar"/>
        </w:rPr>
        <w:t>加快</w:t>
      </w:r>
      <w:r>
        <w:rPr>
          <w:rFonts w:hint="eastAsia" w:ascii="仿宋_GB2312" w:hAnsi="仿宋_GB2312" w:eastAsia="仿宋_GB2312" w:cs="仿宋_GB2312"/>
          <w:color w:val="auto"/>
          <w:kern w:val="0"/>
          <w:sz w:val="32"/>
          <w:szCs w:val="32"/>
          <w:lang w:val="en-US" w:eastAsia="zh-CN" w:bidi="ar"/>
        </w:rPr>
        <w:t>构建</w:t>
      </w:r>
      <w:r>
        <w:rPr>
          <w:rFonts w:hint="eastAsia" w:ascii="仿宋_GB2312" w:hAnsi="仿宋_GB2312" w:eastAsia="仿宋_GB2312" w:cs="仿宋_GB2312"/>
          <w:color w:val="auto"/>
          <w:kern w:val="0"/>
          <w:sz w:val="32"/>
          <w:szCs w:val="32"/>
          <w:lang w:bidi="ar"/>
        </w:rPr>
        <w:t>生态健康养老服务体系</w:t>
      </w:r>
      <w:r>
        <w:rPr>
          <w:rFonts w:hint="eastAsia" w:ascii="仿宋_GB2312" w:hAnsi="仿宋_GB2312" w:eastAsia="仿宋_GB2312" w:cs="仿宋_GB2312"/>
          <w:color w:val="auto"/>
          <w:kern w:val="0"/>
          <w:sz w:val="32"/>
          <w:szCs w:val="32"/>
          <w:lang w:eastAsia="zh-CN" w:bidi="ar"/>
        </w:rPr>
        <w:t>。</w:t>
      </w:r>
      <w:r>
        <w:rPr>
          <w:color w:val="auto"/>
          <w:szCs w:val="21"/>
        </w:rPr>
        <w:t>发展健康体检、健康咨询、</w:t>
      </w:r>
      <w:r>
        <w:rPr>
          <w:rFonts w:hint="eastAsia"/>
          <w:color w:val="auto"/>
          <w:szCs w:val="21"/>
          <w:lang w:val="en-US" w:eastAsia="zh-CN"/>
        </w:rPr>
        <w:t>健康保险、</w:t>
      </w:r>
      <w:r>
        <w:rPr>
          <w:color w:val="auto"/>
          <w:szCs w:val="21"/>
        </w:rPr>
        <w:t>营养辅导、母婴照料等专业机构，</w:t>
      </w:r>
      <w:r>
        <w:rPr>
          <w:rFonts w:hint="eastAsia" w:ascii="仿宋_GB2312" w:hAnsi="仿宋_GB2312" w:eastAsia="仿宋_GB2312" w:cs="仿宋_GB2312"/>
          <w:color w:val="auto"/>
          <w:kern w:val="0"/>
          <w:sz w:val="32"/>
          <w:szCs w:val="32"/>
          <w:lang w:val="en-US" w:eastAsia="zh-CN" w:bidi="ar"/>
        </w:rPr>
        <w:t>推动</w:t>
      </w:r>
      <w:r>
        <w:rPr>
          <w:rFonts w:hint="eastAsia" w:ascii="仿宋_GB2312" w:hAnsi="仿宋_GB2312" w:eastAsia="仿宋_GB2312" w:cs="仿宋_GB2312"/>
          <w:color w:val="auto"/>
          <w:kern w:val="0"/>
          <w:sz w:val="32"/>
          <w:szCs w:val="32"/>
          <w:lang w:bidi="ar"/>
        </w:rPr>
        <w:t>医疗保健、休闲养老、体育健身、康体旅游、健康管理</w:t>
      </w:r>
      <w:r>
        <w:rPr>
          <w:rFonts w:hint="eastAsia" w:ascii="仿宋_GB2312" w:hAnsi="仿宋_GB2312" w:eastAsia="仿宋_GB2312" w:cs="仿宋_GB2312"/>
          <w:color w:val="auto"/>
          <w:kern w:val="0"/>
          <w:sz w:val="32"/>
          <w:szCs w:val="32"/>
          <w:lang w:eastAsia="zh-CN" w:bidi="ar"/>
        </w:rPr>
        <w:t>、</w:t>
      </w:r>
      <w:r>
        <w:rPr>
          <w:color w:val="auto"/>
          <w:szCs w:val="21"/>
        </w:rPr>
        <w:t>森林康</w:t>
      </w:r>
      <w:r>
        <w:rPr>
          <w:rFonts w:hint="eastAsia"/>
          <w:color w:val="auto"/>
          <w:szCs w:val="21"/>
          <w:lang w:val="en-US" w:eastAsia="zh-CN"/>
        </w:rPr>
        <w:t>养</w:t>
      </w:r>
      <w:r>
        <w:rPr>
          <w:rFonts w:hint="eastAsia" w:ascii="仿宋_GB2312" w:hAnsi="仿宋_GB2312" w:eastAsia="仿宋_GB2312" w:cs="仿宋_GB2312"/>
          <w:color w:val="auto"/>
          <w:kern w:val="0"/>
          <w:sz w:val="32"/>
          <w:szCs w:val="32"/>
          <w:lang w:bidi="ar"/>
        </w:rPr>
        <w:t>等健康服务业</w:t>
      </w:r>
      <w:r>
        <w:rPr>
          <w:rFonts w:hint="eastAsia" w:ascii="仿宋_GB2312" w:hAnsi="仿宋_GB2312" w:eastAsia="仿宋_GB2312" w:cs="仿宋_GB2312"/>
          <w:color w:val="auto"/>
          <w:kern w:val="0"/>
          <w:sz w:val="32"/>
          <w:szCs w:val="32"/>
          <w:lang w:eastAsia="zh-CN" w:bidi="ar"/>
        </w:rPr>
        <w:t>，</w:t>
      </w:r>
      <w:r>
        <w:rPr>
          <w:color w:val="auto"/>
          <w:szCs w:val="21"/>
        </w:rPr>
        <w:t>培育大健康产业链。打造</w:t>
      </w:r>
      <w:r>
        <w:rPr>
          <w:rFonts w:hint="eastAsia"/>
          <w:color w:val="auto"/>
          <w:szCs w:val="21"/>
          <w:lang w:eastAsia="zh-CN"/>
        </w:rPr>
        <w:t>商州</w:t>
      </w:r>
      <w:r>
        <w:rPr>
          <w:rFonts w:hint="eastAsia"/>
          <w:color w:val="auto"/>
          <w:szCs w:val="21"/>
          <w:lang w:val="en-US" w:eastAsia="zh-CN"/>
        </w:rPr>
        <w:t>-</w:t>
      </w:r>
      <w:r>
        <w:rPr>
          <w:rFonts w:hint="eastAsia"/>
          <w:color w:val="auto"/>
          <w:szCs w:val="21"/>
          <w:lang w:eastAsia="zh-CN"/>
        </w:rPr>
        <w:t>丹凤</w:t>
      </w:r>
      <w:r>
        <w:rPr>
          <w:rFonts w:hint="eastAsia"/>
          <w:color w:val="auto"/>
          <w:szCs w:val="21"/>
          <w:lang w:val="en-US" w:eastAsia="zh-CN"/>
        </w:rPr>
        <w:t>-</w:t>
      </w:r>
      <w:r>
        <w:rPr>
          <w:rFonts w:hint="eastAsia"/>
          <w:color w:val="auto"/>
          <w:szCs w:val="21"/>
          <w:lang w:eastAsia="zh-CN"/>
        </w:rPr>
        <w:t>商南、勉县</w:t>
      </w:r>
      <w:r>
        <w:rPr>
          <w:rFonts w:hint="eastAsia"/>
          <w:color w:val="auto"/>
          <w:szCs w:val="21"/>
          <w:lang w:val="en-US" w:eastAsia="zh-CN"/>
        </w:rPr>
        <w:t>-</w:t>
      </w:r>
      <w:r>
        <w:rPr>
          <w:rFonts w:hint="eastAsia"/>
          <w:color w:val="auto"/>
          <w:szCs w:val="21"/>
          <w:lang w:eastAsia="zh-CN"/>
        </w:rPr>
        <w:t>城固</w:t>
      </w:r>
      <w:r>
        <w:rPr>
          <w:rFonts w:hint="eastAsia"/>
          <w:color w:val="auto"/>
          <w:szCs w:val="21"/>
          <w:lang w:val="en-US" w:eastAsia="zh-CN"/>
        </w:rPr>
        <w:t>-</w:t>
      </w:r>
      <w:r>
        <w:rPr>
          <w:rFonts w:hint="eastAsia"/>
          <w:color w:val="auto"/>
          <w:szCs w:val="21"/>
          <w:lang w:eastAsia="zh-CN"/>
        </w:rPr>
        <w:t>宁强、宁陕</w:t>
      </w:r>
      <w:r>
        <w:rPr>
          <w:rFonts w:hint="eastAsia"/>
          <w:color w:val="auto"/>
          <w:szCs w:val="21"/>
          <w:lang w:val="en-US" w:eastAsia="zh-CN"/>
        </w:rPr>
        <w:t>-</w:t>
      </w:r>
      <w:r>
        <w:rPr>
          <w:rFonts w:hint="eastAsia"/>
          <w:color w:val="auto"/>
          <w:szCs w:val="21"/>
          <w:lang w:eastAsia="zh-CN"/>
        </w:rPr>
        <w:t>紫阳</w:t>
      </w:r>
      <w:r>
        <w:rPr>
          <w:rFonts w:hint="eastAsia"/>
          <w:color w:val="auto"/>
          <w:szCs w:val="21"/>
          <w:lang w:val="en-US" w:eastAsia="zh-CN"/>
        </w:rPr>
        <w:t>-</w:t>
      </w:r>
      <w:r>
        <w:rPr>
          <w:rFonts w:hint="eastAsia"/>
          <w:color w:val="auto"/>
          <w:szCs w:val="21"/>
          <w:lang w:eastAsia="zh-CN"/>
        </w:rPr>
        <w:t>镇坪</w:t>
      </w:r>
      <w:r>
        <w:rPr>
          <w:rFonts w:hint="eastAsia"/>
          <w:color w:val="auto"/>
          <w:szCs w:val="21"/>
        </w:rPr>
        <w:t>等</w:t>
      </w:r>
      <w:r>
        <w:rPr>
          <w:rFonts w:hint="eastAsia"/>
          <w:color w:val="auto"/>
          <w:szCs w:val="21"/>
          <w:lang w:eastAsia="zh-CN"/>
        </w:rPr>
        <w:t>区域</w:t>
      </w:r>
      <w:r>
        <w:rPr>
          <w:rFonts w:hint="eastAsia"/>
          <w:color w:val="auto"/>
          <w:szCs w:val="21"/>
          <w:lang w:val="en-US" w:eastAsia="zh-CN"/>
        </w:rPr>
        <w:t>性</w:t>
      </w:r>
      <w:r>
        <w:rPr>
          <w:color w:val="auto"/>
          <w:szCs w:val="21"/>
        </w:rPr>
        <w:t>健康</w:t>
      </w:r>
      <w:r>
        <w:rPr>
          <w:rFonts w:hint="eastAsia"/>
          <w:color w:val="auto"/>
          <w:szCs w:val="21"/>
        </w:rPr>
        <w:t>养老</w:t>
      </w:r>
      <w:r>
        <w:rPr>
          <w:color w:val="auto"/>
          <w:szCs w:val="21"/>
        </w:rPr>
        <w:t>产业基地。</w:t>
      </w:r>
    </w:p>
    <w:p>
      <w:pPr>
        <w:spacing w:line="600" w:lineRule="exact"/>
        <w:ind w:firstLine="643"/>
        <w:rPr>
          <w:rFonts w:hint="eastAsia" w:eastAsia="仿宋"/>
          <w:b/>
          <w:bCs/>
          <w:color w:val="auto"/>
          <w:szCs w:val="21"/>
          <w:lang w:eastAsia="zh-CN"/>
        </w:rPr>
      </w:pPr>
      <w:r>
        <w:rPr>
          <w:rFonts w:hint="eastAsia"/>
          <w:b/>
          <w:bCs/>
          <w:color w:val="auto"/>
          <w:szCs w:val="21"/>
          <w:lang w:val="en-US" w:eastAsia="zh-CN"/>
        </w:rPr>
        <w:t>壮大</w:t>
      </w:r>
      <w:r>
        <w:rPr>
          <w:rFonts w:hint="eastAsia"/>
          <w:b/>
          <w:bCs/>
          <w:color w:val="auto"/>
          <w:szCs w:val="21"/>
          <w:lang w:eastAsia="zh-CN"/>
        </w:rPr>
        <w:t>商贸物流</w:t>
      </w:r>
      <w:r>
        <w:rPr>
          <w:rFonts w:hint="eastAsia"/>
          <w:b/>
          <w:bCs/>
          <w:color w:val="auto"/>
          <w:szCs w:val="21"/>
          <w:lang w:val="en-US" w:eastAsia="zh-CN"/>
        </w:rPr>
        <w:t>产业</w:t>
      </w:r>
      <w:r>
        <w:rPr>
          <w:rFonts w:hint="eastAsia"/>
          <w:b/>
          <w:bCs/>
          <w:color w:val="auto"/>
          <w:szCs w:val="21"/>
          <w:lang w:eastAsia="zh-CN"/>
        </w:rPr>
        <w:t>。</w:t>
      </w:r>
      <w:r>
        <w:rPr>
          <w:rFonts w:hint="eastAsia"/>
          <w:b w:val="0"/>
          <w:bCs w:val="0"/>
          <w:color w:val="auto"/>
          <w:szCs w:val="21"/>
          <w:lang w:eastAsia="zh-CN"/>
        </w:rPr>
        <w:t>加快商贸中心和专业市场建设，发展连锁经营、电子商务等现代流通方式。将农村市场流通体系纳入城镇化规划，培育一批集零售、餐饮、文化、生活、配送等于一体的多功能乡镇商贸中心。</w:t>
      </w:r>
      <w:r>
        <w:rPr>
          <w:rFonts w:hint="eastAsia"/>
          <w:b w:val="0"/>
          <w:bCs w:val="0"/>
          <w:color w:val="auto"/>
          <w:szCs w:val="21"/>
          <w:lang w:val="en-US" w:eastAsia="zh-CN"/>
        </w:rPr>
        <w:t>实施电子商务入村工程，完善农村配送服务网络，构建涵盖镇村的电商服务站，建设一批“电子商务村”。</w:t>
      </w:r>
      <w:r>
        <w:rPr>
          <w:rFonts w:hint="eastAsia" w:ascii="仿宋_GB2312" w:eastAsia="仿宋_GB2312" w:cs="仿宋_GB2312"/>
          <w:color w:val="auto"/>
          <w:sz w:val="32"/>
          <w:szCs w:val="32"/>
          <w:lang w:bidi="ar"/>
        </w:rPr>
        <w:t>加强物流</w:t>
      </w:r>
      <w:r>
        <w:rPr>
          <w:rFonts w:hint="eastAsia" w:ascii="仿宋_GB2312" w:eastAsia="仿宋_GB2312" w:cs="仿宋_GB2312"/>
          <w:color w:val="auto"/>
          <w:sz w:val="32"/>
          <w:szCs w:val="32"/>
          <w:lang w:val="en-US" w:eastAsia="zh-CN" w:bidi="ar"/>
        </w:rPr>
        <w:t>配套</w:t>
      </w:r>
      <w:r>
        <w:rPr>
          <w:rFonts w:hint="eastAsia" w:ascii="仿宋_GB2312" w:eastAsia="仿宋_GB2312" w:cs="仿宋_GB2312"/>
          <w:color w:val="auto"/>
          <w:sz w:val="32"/>
          <w:szCs w:val="32"/>
          <w:lang w:bidi="ar"/>
        </w:rPr>
        <w:t>基础设施建设，</w:t>
      </w:r>
      <w:r>
        <w:rPr>
          <w:rFonts w:hint="eastAsia"/>
          <w:b w:val="0"/>
          <w:bCs w:val="0"/>
          <w:color w:val="auto"/>
          <w:szCs w:val="21"/>
          <w:lang w:eastAsia="zh-CN"/>
        </w:rPr>
        <w:t>建</w:t>
      </w:r>
      <w:r>
        <w:rPr>
          <w:rFonts w:hint="eastAsia"/>
          <w:b w:val="0"/>
          <w:bCs w:val="0"/>
          <w:color w:val="auto"/>
          <w:szCs w:val="21"/>
          <w:lang w:val="en-US" w:eastAsia="zh-CN"/>
        </w:rPr>
        <w:t>成</w:t>
      </w:r>
      <w:r>
        <w:rPr>
          <w:rFonts w:hint="eastAsia"/>
          <w:b w:val="0"/>
          <w:bCs w:val="0"/>
          <w:color w:val="auto"/>
          <w:szCs w:val="21"/>
          <w:lang w:eastAsia="zh-CN"/>
        </w:rPr>
        <w:t>一批物流园区、物流中心和配送中心，积极发展第三方物流和物流信息平台，推进物流智能化和标准化，</w:t>
      </w:r>
      <w:r>
        <w:rPr>
          <w:rFonts w:hint="eastAsia" w:ascii="仿宋_GB2312" w:eastAsia="仿宋_GB2312" w:cs="仿宋_GB2312"/>
          <w:color w:val="auto"/>
          <w:sz w:val="32"/>
          <w:szCs w:val="32"/>
          <w:lang w:bidi="ar"/>
        </w:rPr>
        <w:t>形成与主导产业相配套的物流服务体系</w:t>
      </w:r>
      <w:r>
        <w:rPr>
          <w:rFonts w:hint="eastAsia"/>
          <w:b w:val="0"/>
          <w:bCs w:val="0"/>
          <w:color w:val="auto"/>
          <w:szCs w:val="21"/>
          <w:lang w:eastAsia="zh-CN"/>
        </w:rPr>
        <w:t>。</w:t>
      </w:r>
      <w:r>
        <w:rPr>
          <w:rFonts w:hint="eastAsia"/>
          <w:b w:val="0"/>
          <w:bCs w:val="0"/>
          <w:color w:val="auto"/>
          <w:szCs w:val="21"/>
          <w:lang w:val="en-US" w:eastAsia="zh-CN"/>
        </w:rPr>
        <w:t>支持汉中建设陕甘川渝物流中心、安康建设陕鄂川渝物流中心、商洛建设陆路货运口岸和“一带一路”物流节点城市。</w:t>
      </w:r>
    </w:p>
    <w:p>
      <w:pPr>
        <w:pStyle w:val="2"/>
        <w:keepNext w:val="0"/>
        <w:keepLines w:val="0"/>
        <w:spacing w:before="312" w:beforeLines="100" w:after="312" w:afterLines="100" w:line="600" w:lineRule="exact"/>
        <w:jc w:val="center"/>
        <w:rPr>
          <w:rFonts w:hint="eastAsia" w:ascii="方正大标宋简体" w:hAnsi="黑体" w:eastAsia="方正大标宋简体" w:cs="黑体"/>
          <w:color w:val="auto"/>
        </w:rPr>
      </w:pPr>
      <w:bookmarkStart w:id="97" w:name="_Toc14673"/>
      <w:r>
        <w:rPr>
          <w:rFonts w:hint="eastAsia" w:ascii="方正大标宋简体" w:hAnsi="黑体" w:eastAsia="方正大标宋简体" w:cs="黑体"/>
          <w:color w:val="auto"/>
        </w:rPr>
        <w:t>第五章  加强生态建设，实现绿色发展</w:t>
      </w:r>
      <w:bookmarkEnd w:id="97"/>
    </w:p>
    <w:p>
      <w:pPr>
        <w:spacing w:before="156" w:beforeLines="50" w:after="156" w:afterLines="50" w:line="600" w:lineRule="exact"/>
        <w:ind w:firstLine="640"/>
        <w:rPr>
          <w:rFonts w:hint="eastAsia" w:ascii="仿宋_GB2312" w:hAnsi="仿宋" w:eastAsia="仿宋_GB2312" w:cs="仿宋"/>
          <w:color w:val="auto"/>
          <w:szCs w:val="32"/>
        </w:rPr>
      </w:pPr>
      <w:r>
        <w:rPr>
          <w:rFonts w:hint="eastAsia" w:ascii="仿宋_GB2312" w:hAnsi="仿宋" w:eastAsia="仿宋_GB2312" w:cs="仿宋"/>
          <w:color w:val="auto"/>
          <w:szCs w:val="32"/>
        </w:rPr>
        <w:t>牢固树立绿水青山就是金山银山生态文明建设理念，坚持节约优先、保护优先、自然恢复为主，以绿色、循环、低碳发展为途径，按照主体功能区定位，加强退耕还林、天然林保护、湿地建设等生态工程建设，深化汉丹江流域综合治理，构建绿色循环发展屏障。</w:t>
      </w:r>
    </w:p>
    <w:p>
      <w:pPr>
        <w:pStyle w:val="3"/>
        <w:keepNext w:val="0"/>
        <w:keepLines w:val="0"/>
        <w:spacing w:before="156" w:beforeLines="50" w:after="156" w:afterLines="50" w:line="600" w:lineRule="exact"/>
        <w:rPr>
          <w:rFonts w:hint="eastAsia" w:ascii="黑体" w:hAnsi="黑体" w:eastAsia="黑体" w:cs="宋体"/>
          <w:b w:val="0"/>
          <w:color w:val="auto"/>
        </w:rPr>
      </w:pPr>
      <w:bookmarkStart w:id="98" w:name="_Toc29169"/>
      <w:r>
        <w:rPr>
          <w:rFonts w:hint="eastAsia" w:ascii="黑体" w:hAnsi="黑体" w:eastAsia="黑体" w:cs="宋体"/>
          <w:b w:val="0"/>
          <w:color w:val="auto"/>
        </w:rPr>
        <w:t>第一节  建设主体功能区</w:t>
      </w:r>
      <w:bookmarkEnd w:id="98"/>
    </w:p>
    <w:p>
      <w:pPr>
        <w:spacing w:line="600" w:lineRule="exact"/>
        <w:ind w:firstLine="640"/>
        <w:jc w:val="left"/>
        <w:rPr>
          <w:rFonts w:hint="eastAsia" w:ascii="仿宋_GB2312" w:hAnsi="仿宋" w:eastAsia="仿宋_GB2312" w:cs="仿宋"/>
          <w:color w:val="auto"/>
          <w:szCs w:val="32"/>
        </w:rPr>
      </w:pPr>
      <w:r>
        <w:rPr>
          <w:rFonts w:hint="eastAsia" w:ascii="仿宋_GB2312" w:hAnsi="仿宋" w:eastAsia="仿宋_GB2312" w:cs="仿宋"/>
          <w:color w:val="auto"/>
          <w:szCs w:val="32"/>
        </w:rPr>
        <w:t>发挥主体功能区作为国土空间开发保护基础制度作用,促进生产空间集约高效、生活空间宜居适度、生态空间山清水秀。加强空间发展引导和管控、引导重点开发区集约集聚高效开发，统筹工业和城镇发展布局，提高自然资源利用效率和经济发展效益；强化限制开发区（农产品主产区）耕地保护，稳定农产品生产，发展现代高效农业。推进限制开发区（重点生态功能区）环境保护和生态修复力度，提高生态产品供给能力，保障全省乃至全国生态安全；依法加强对禁止开发区的保护，严格不符合主体功能区定位的各类开发活动，保障自然生态和文化自然遗产原真性、完整性。支持安康开展国家主体功能区试点示范，建设国家生态文明综合改革示范区。推进县市经济社会发展、城乡建设、土地利用、生态环境保护等规划“多规合一”。</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8407" w:type="dxa"/>
            <w:noWrap w:val="0"/>
            <w:vAlign w:val="top"/>
          </w:tcPr>
          <w:p>
            <w:pPr>
              <w:spacing w:before="156" w:beforeLines="50" w:after="156" w:afterLines="50" w:line="40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专栏8  主体功能区划分</w:t>
            </w:r>
          </w:p>
          <w:p>
            <w:pPr>
              <w:spacing w:line="380" w:lineRule="exact"/>
              <w:ind w:firstLine="482"/>
              <w:rPr>
                <w:rFonts w:hint="eastAsia" w:ascii="仿宋_GB2312" w:hAnsi="仿宋" w:eastAsia="仿宋_GB2312"/>
                <w:bCs/>
                <w:color w:val="auto"/>
                <w:sz w:val="24"/>
              </w:rPr>
            </w:pPr>
            <w:r>
              <w:rPr>
                <w:rFonts w:hint="eastAsia" w:ascii="仿宋_GB2312" w:hAnsi="仿宋" w:eastAsia="仿宋_GB2312"/>
                <w:b/>
                <w:color w:val="auto"/>
                <w:sz w:val="24"/>
              </w:rPr>
              <w:t>重点开发区：</w:t>
            </w:r>
            <w:r>
              <w:rPr>
                <w:rFonts w:hint="eastAsia" w:ascii="仿宋_GB2312" w:hAnsi="仿宋" w:eastAsia="仿宋_GB2312"/>
                <w:bCs/>
                <w:color w:val="auto"/>
                <w:sz w:val="24"/>
              </w:rPr>
              <w:t>主要包括汉中的汉台区、城固县，安康的汉滨区，商洛的商州区、丹凤县，以及其他县城主城区和产业园区</w:t>
            </w:r>
            <w:r>
              <w:rPr>
                <w:rFonts w:hint="eastAsia" w:ascii="仿宋_GB2312" w:hAnsi="仿宋" w:eastAsia="仿宋_GB2312"/>
                <w:color w:val="auto"/>
                <w:sz w:val="24"/>
              </w:rPr>
              <w:t>。</w:t>
            </w:r>
            <w:r>
              <w:rPr>
                <w:rFonts w:hint="eastAsia" w:ascii="仿宋_GB2312" w:hAnsi="仿宋" w:eastAsia="仿宋_GB2312"/>
                <w:bCs/>
                <w:color w:val="auto"/>
                <w:sz w:val="24"/>
              </w:rPr>
              <w:t>培育壮大装备制造、新材料、新能源、绿色食品、生物医药、现代物流、高科技等特色产业，强化商州—丹凤国家层面重点开发区建设，做大做强商丹循环工业园，建设安康高新区、汉中航空智慧新城，打造汉江生态经济带。</w:t>
            </w:r>
          </w:p>
          <w:p>
            <w:pPr>
              <w:spacing w:line="380" w:lineRule="exact"/>
              <w:ind w:firstLine="482"/>
              <w:rPr>
                <w:rFonts w:hint="eastAsia" w:ascii="仿宋_GB2312" w:hAnsi="仿宋" w:eastAsia="仿宋_GB2312"/>
                <w:bCs/>
                <w:color w:val="auto"/>
                <w:sz w:val="24"/>
              </w:rPr>
            </w:pPr>
            <w:r>
              <w:rPr>
                <w:rFonts w:hint="eastAsia" w:ascii="仿宋_GB2312" w:hAnsi="仿宋" w:eastAsia="仿宋_GB2312"/>
                <w:b/>
                <w:color w:val="auto"/>
                <w:sz w:val="24"/>
              </w:rPr>
              <w:t>限制开发区：</w:t>
            </w:r>
            <w:r>
              <w:rPr>
                <w:rFonts w:hint="eastAsia" w:ascii="仿宋_GB2312" w:hAnsi="仿宋" w:eastAsia="仿宋_GB2312"/>
                <w:bCs/>
                <w:color w:val="auto"/>
                <w:sz w:val="24"/>
              </w:rPr>
              <w:t>包括汉中、安康、商洛重点开发区以外区域，以及坡度在25度以下的适宜农业发展的汉中盆地、低山丘陵地区、河谷平坝地区。严格保护耕地，稳定粮食生产，大力发展特色农业和循环农业，发展种植业、养殖业和中小型农副产品加工业，打造秦巴山地中药材产业基地和林特产品基地，改善农村生产和生活环境，大力发展生态旅游和乡村特色旅游业。加强退耕还林、封山育林、天然林保护、湿地保护、长防林建设，开展小流域治理，防止水土流失，促进植被恢复，保护生态环境，维护生物多样性、水源涵养、水土保持，构建秦巴山地生态屏障。</w:t>
            </w:r>
          </w:p>
          <w:p>
            <w:pPr>
              <w:spacing w:line="380" w:lineRule="exact"/>
              <w:ind w:firstLine="482"/>
              <w:rPr>
                <w:rFonts w:hint="eastAsia" w:ascii="仿宋_GB2312" w:hAnsi="仿宋" w:eastAsia="仿宋_GB2312"/>
                <w:color w:val="auto"/>
                <w:sz w:val="24"/>
              </w:rPr>
            </w:pPr>
            <w:r>
              <w:rPr>
                <w:rFonts w:hint="eastAsia" w:ascii="仿宋_GB2312" w:hAnsi="仿宋" w:eastAsia="仿宋_GB2312"/>
                <w:b/>
                <w:color w:val="auto"/>
                <w:sz w:val="24"/>
              </w:rPr>
              <w:t>禁止开发区：</w:t>
            </w:r>
            <w:r>
              <w:rPr>
                <w:rFonts w:hint="eastAsia" w:ascii="仿宋_GB2312" w:hAnsi="仿宋" w:eastAsia="仿宋_GB2312"/>
                <w:bCs/>
                <w:color w:val="auto"/>
                <w:sz w:val="24"/>
              </w:rPr>
              <w:t>主要为点状分布于各县区的自然保护区、森林公园、风景名胜区、地质公园、文化自然遗产、水产种质资源保护区、重要湿地（湿地公园）、重要水源地，以及坡度在25度以上的山地森林生态经济区、生物多样性维护区等。重点做好生态修复、水源涵养、生物多样性维护、环境保护等，加强汉江、丹江流域综合治理，积极做好水资源综合开发和生态文化旅游资源开发，适度开发林下产业。</w:t>
            </w:r>
          </w:p>
        </w:tc>
      </w:tr>
    </w:tbl>
    <w:p>
      <w:pPr>
        <w:pStyle w:val="3"/>
        <w:keepNext w:val="0"/>
        <w:keepLines w:val="0"/>
        <w:spacing w:before="156" w:beforeLines="50" w:after="156" w:afterLines="50"/>
        <w:rPr>
          <w:rFonts w:hint="eastAsia" w:ascii="黑体" w:hAnsi="黑体" w:eastAsia="黑体" w:cs="宋体"/>
          <w:b w:val="0"/>
          <w:color w:val="auto"/>
        </w:rPr>
      </w:pPr>
      <w:bookmarkStart w:id="99" w:name="_Toc8474"/>
      <w:r>
        <w:rPr>
          <w:rFonts w:hint="eastAsia" w:ascii="黑体" w:hAnsi="黑体" w:eastAsia="黑体" w:cs="宋体"/>
          <w:b w:val="0"/>
          <w:color w:val="auto"/>
        </w:rPr>
        <w:t>第二节  构筑陕南生态安全屏障</w:t>
      </w:r>
      <w:bookmarkEnd w:id="99"/>
    </w:p>
    <w:p>
      <w:pPr>
        <w:spacing w:before="156" w:beforeLines="50" w:after="156" w:afterLines="50" w:line="610" w:lineRule="exact"/>
        <w:ind w:firstLine="640"/>
        <w:rPr>
          <w:rFonts w:hint="eastAsia" w:ascii="仿宋_GB2312" w:hAnsi="仿宋" w:eastAsia="仿宋_GB2312" w:cs="仿宋"/>
          <w:color w:val="auto"/>
          <w:szCs w:val="32"/>
        </w:rPr>
      </w:pPr>
      <w:r>
        <w:rPr>
          <w:rFonts w:hint="eastAsia" w:ascii="仿宋_GB2312" w:hAnsi="仿宋" w:eastAsia="仿宋_GB2312" w:cs="仿宋"/>
          <w:color w:val="auto"/>
          <w:szCs w:val="32"/>
        </w:rPr>
        <w:t>以秦岭—大巴山和汉江、丹江、嘉陵江流域等为重点，强化生态安全保护区、生物多样性保护区、水源涵养保护区等生态功能区建设，提升生态系统功能和自我修复能力。实施生态保护工程，继续推进天然林保护、湿地恢复、防护林建设等重大生态修复工程。大力开展植树造林和森林经营，稳定和扩大退耕还林范围。加大重点水源区生态保护，治理水土流失危害，积极开展以生态清洁型小流域治理为重点的丹江口库区及上游水土保持工程，全面提高治理水平。实施生态文明示范工程，建设一批国家级市、县、乡镇、村生态文明示范区。</w:t>
      </w:r>
      <w:r>
        <w:rPr>
          <w:rFonts w:hint="eastAsia" w:eastAsia="仿宋_GB2312"/>
          <w:snapToGrid w:val="0"/>
          <w:color w:val="auto"/>
          <w:kern w:val="0"/>
          <w:szCs w:val="32"/>
        </w:rPr>
        <w:t>积极开展低碳商业、低碳城镇、低碳社区试点，探索低碳发展模式。</w:t>
      </w:r>
      <w:r>
        <w:rPr>
          <w:rFonts w:hint="eastAsia" w:ascii="仿宋_GB2312" w:hAnsi="仿宋" w:eastAsia="仿宋_GB2312" w:cs="仿宋"/>
          <w:color w:val="auto"/>
          <w:szCs w:val="32"/>
        </w:rPr>
        <w:t>实施城乡绿化美化工程，营造城市园林化、城郊森林化、道路林荫化、农田林网化、村庄花园化的生态环境。加强地质灾害防治，推进灾害调查评价、监测预警、防治和应急等防灾减灾体系建设。</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36" w:type="dxa"/>
            <w:noWrap w:val="0"/>
            <w:vAlign w:val="top"/>
          </w:tcPr>
          <w:p>
            <w:pPr>
              <w:spacing w:before="156" w:beforeLines="50" w:after="156" w:afterLines="50" w:line="40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专栏9  生态建设重点工程</w:t>
            </w:r>
          </w:p>
          <w:p>
            <w:pPr>
              <w:spacing w:line="400" w:lineRule="exact"/>
              <w:ind w:firstLine="482"/>
              <w:jc w:val="left"/>
              <w:rPr>
                <w:rFonts w:hint="eastAsia" w:ascii="仿宋_GB2312" w:hAnsi="仿宋" w:eastAsia="仿宋_GB2312"/>
                <w:color w:val="auto"/>
                <w:sz w:val="24"/>
              </w:rPr>
            </w:pPr>
            <w:r>
              <w:rPr>
                <w:rFonts w:hint="eastAsia" w:ascii="仿宋_GB2312" w:hAnsi="仿宋" w:eastAsia="仿宋_GB2312"/>
                <w:b/>
                <w:color w:val="auto"/>
                <w:sz w:val="24"/>
              </w:rPr>
              <w:t>森林生态系统保护和建设：</w:t>
            </w:r>
            <w:r>
              <w:rPr>
                <w:rFonts w:hint="eastAsia" w:ascii="仿宋_GB2312" w:hAnsi="仿宋" w:eastAsia="仿宋_GB2312"/>
                <w:color w:val="auto"/>
                <w:sz w:val="24"/>
              </w:rPr>
              <w:t>实施天然林保护二期、新一轮退耕还林、长江防护林工程及重点区域绿化工程。加大林业基础设施建设，实施国家造林补贴试点和国家碳汇造林项目。</w:t>
            </w:r>
          </w:p>
          <w:p>
            <w:pPr>
              <w:spacing w:line="400" w:lineRule="exact"/>
              <w:ind w:firstLine="482"/>
              <w:jc w:val="left"/>
              <w:rPr>
                <w:rFonts w:hint="eastAsia" w:ascii="仿宋_GB2312" w:hAnsi="仿宋" w:eastAsia="仿宋_GB2312"/>
                <w:b/>
                <w:color w:val="auto"/>
                <w:sz w:val="24"/>
              </w:rPr>
            </w:pPr>
            <w:r>
              <w:rPr>
                <w:rFonts w:hint="eastAsia" w:ascii="仿宋_GB2312" w:hAnsi="仿宋" w:eastAsia="仿宋_GB2312"/>
                <w:b/>
                <w:color w:val="auto"/>
                <w:sz w:val="24"/>
              </w:rPr>
              <w:t>水土流失预防和治理：</w:t>
            </w:r>
            <w:r>
              <w:rPr>
                <w:rFonts w:hint="eastAsia" w:ascii="仿宋_GB2312" w:hAnsi="仿宋" w:eastAsia="仿宋_GB2312"/>
                <w:color w:val="auto"/>
                <w:sz w:val="24"/>
              </w:rPr>
              <w:t>实施“丹治”三期，促进矿山生态修复，治理水土流失面积5200平方公里。</w:t>
            </w:r>
          </w:p>
          <w:p>
            <w:pPr>
              <w:spacing w:line="400" w:lineRule="exact"/>
              <w:ind w:firstLine="482"/>
              <w:jc w:val="left"/>
              <w:rPr>
                <w:rFonts w:hint="eastAsia" w:ascii="仿宋_GB2312" w:hAnsi="仿宋" w:eastAsia="仿宋_GB2312"/>
                <w:color w:val="auto"/>
                <w:sz w:val="24"/>
              </w:rPr>
            </w:pPr>
            <w:r>
              <w:rPr>
                <w:rFonts w:hint="eastAsia" w:ascii="仿宋_GB2312" w:hAnsi="仿宋" w:eastAsia="仿宋_GB2312"/>
                <w:b/>
                <w:color w:val="auto"/>
                <w:sz w:val="24"/>
              </w:rPr>
              <w:t>城市生态系统建设：</w:t>
            </w:r>
            <w:r>
              <w:rPr>
                <w:rFonts w:hint="eastAsia" w:ascii="仿宋_GB2312" w:hAnsi="仿宋" w:eastAsia="仿宋_GB2312"/>
                <w:color w:val="auto"/>
                <w:sz w:val="24"/>
              </w:rPr>
              <w:t>全面实施森林城市建设、绿色通道建设和村、镇绿化、美化,结合农业综合开发、土地整理等工程,完善农田林网,建设绿色家园；创建一批生态文明示范市、县、乡镇和村。</w:t>
            </w:r>
          </w:p>
          <w:p>
            <w:pPr>
              <w:spacing w:line="400" w:lineRule="exact"/>
              <w:ind w:firstLine="482"/>
              <w:jc w:val="left"/>
              <w:rPr>
                <w:rFonts w:hint="eastAsia" w:ascii="仿宋_GB2312" w:hAnsi="仿宋" w:eastAsia="仿宋_GB2312"/>
                <w:b/>
                <w:color w:val="auto"/>
                <w:sz w:val="24"/>
              </w:rPr>
            </w:pPr>
            <w:r>
              <w:rPr>
                <w:rFonts w:hint="eastAsia" w:ascii="仿宋_GB2312" w:hAnsi="仿宋" w:eastAsia="仿宋_GB2312"/>
                <w:b/>
                <w:color w:val="auto"/>
                <w:sz w:val="24"/>
              </w:rPr>
              <w:t>生物多样性保护和恢复：</w:t>
            </w:r>
            <w:r>
              <w:rPr>
                <w:rFonts w:hint="eastAsia" w:ascii="仿宋_GB2312" w:hAnsi="仿宋" w:eastAsia="仿宋_GB2312"/>
                <w:color w:val="auto"/>
                <w:sz w:val="24"/>
              </w:rPr>
              <w:t>加快秦岭大熊猫繁育基地、秦岭国家植物园建设，启动新一轮秦岭大熊猫保护工程，建设和完善自然保护区网络，使90%以上的国家重点野生动物种类得到有效保护。做好古树名木普查建档、养护复壮，收集种植资源，建立苗木繁育基地。</w:t>
            </w:r>
          </w:p>
          <w:p>
            <w:pPr>
              <w:spacing w:line="400" w:lineRule="exact"/>
              <w:ind w:firstLine="482"/>
              <w:jc w:val="left"/>
              <w:rPr>
                <w:rFonts w:hint="eastAsia" w:ascii="仿宋_GB2312" w:hAnsi="仿宋" w:eastAsia="仿宋_GB2312" w:cs="仿宋"/>
                <w:color w:val="auto"/>
                <w:sz w:val="24"/>
              </w:rPr>
            </w:pPr>
            <w:r>
              <w:rPr>
                <w:rFonts w:hint="eastAsia" w:ascii="仿宋_GB2312" w:hAnsi="仿宋" w:eastAsia="仿宋_GB2312"/>
                <w:b/>
                <w:color w:val="auto"/>
                <w:sz w:val="24"/>
              </w:rPr>
              <w:t>防灾减灾体系建设：</w:t>
            </w:r>
            <w:r>
              <w:rPr>
                <w:rFonts w:hint="eastAsia" w:ascii="仿宋_GB2312" w:hAnsi="仿宋" w:eastAsia="仿宋_GB2312"/>
                <w:color w:val="auto"/>
                <w:sz w:val="24"/>
              </w:rPr>
              <w:t>实施陕南新型天气雷达系统、生态与林业气象服务研发中心、汉丹江流域自然灾害监测预警应急指挥平台建设。</w:t>
            </w:r>
          </w:p>
        </w:tc>
      </w:tr>
    </w:tbl>
    <w:p>
      <w:pPr>
        <w:pStyle w:val="3"/>
        <w:keepNext w:val="0"/>
        <w:keepLines w:val="0"/>
        <w:spacing w:before="156" w:beforeLines="50" w:after="156" w:afterLines="50"/>
        <w:rPr>
          <w:rFonts w:hint="eastAsia" w:ascii="黑体" w:hAnsi="黑体" w:eastAsia="黑体" w:cs="宋体"/>
          <w:b w:val="0"/>
          <w:color w:val="auto"/>
        </w:rPr>
      </w:pPr>
      <w:bookmarkStart w:id="100" w:name="_Toc27766"/>
      <w:r>
        <w:rPr>
          <w:rFonts w:hint="eastAsia" w:ascii="黑体" w:hAnsi="黑体" w:eastAsia="黑体" w:cs="宋体"/>
          <w:b w:val="0"/>
          <w:color w:val="auto"/>
        </w:rPr>
        <w:t>第三节  强化环境综合治理</w:t>
      </w:r>
      <w:bookmarkEnd w:id="100"/>
    </w:p>
    <w:p>
      <w:pPr>
        <w:spacing w:line="610" w:lineRule="exact"/>
        <w:ind w:firstLine="643"/>
        <w:rPr>
          <w:rFonts w:hint="eastAsia" w:ascii="仿宋_GB2312" w:hAnsi="仿宋" w:eastAsia="仿宋_GB2312"/>
          <w:color w:val="auto"/>
          <w:kern w:val="0"/>
          <w:szCs w:val="32"/>
        </w:rPr>
      </w:pPr>
      <w:r>
        <w:rPr>
          <w:rFonts w:hint="eastAsia"/>
          <w:b/>
          <w:bCs/>
          <w:color w:val="auto"/>
        </w:rPr>
        <w:t>城乡环境保护基础设施工程。</w:t>
      </w:r>
      <w:r>
        <w:rPr>
          <w:rFonts w:hint="eastAsia" w:ascii="仿宋_GB2312" w:hAnsi="仿宋" w:eastAsia="仿宋_GB2312"/>
          <w:color w:val="auto"/>
          <w:kern w:val="0"/>
          <w:szCs w:val="32"/>
        </w:rPr>
        <w:t>加快推进区域内污废水、垃圾收集和处理设施建设，开发推广适用的综合整治模式与技术，推进污水、垃圾无害化、资源化处理。推进清洁农村工程，加大农村环境综合整治、农业面源污染防治力度。</w:t>
      </w:r>
    </w:p>
    <w:p>
      <w:pPr>
        <w:spacing w:line="610" w:lineRule="exact"/>
        <w:ind w:firstLine="643"/>
        <w:rPr>
          <w:rFonts w:hint="eastAsia" w:ascii="仿宋_GB2312" w:hAnsi="仿宋" w:eastAsia="仿宋_GB2312"/>
          <w:color w:val="auto"/>
          <w:kern w:val="0"/>
          <w:szCs w:val="32"/>
        </w:rPr>
      </w:pPr>
      <w:r>
        <w:rPr>
          <w:rFonts w:hint="eastAsia"/>
          <w:b/>
          <w:bCs/>
          <w:color w:val="auto"/>
        </w:rPr>
        <w:t>工业污染治理工程。</w:t>
      </w:r>
      <w:r>
        <w:rPr>
          <w:rFonts w:hint="eastAsia" w:ascii="仿宋_GB2312" w:hAnsi="仿宋" w:eastAsia="仿宋_GB2312"/>
          <w:color w:val="auto"/>
          <w:kern w:val="0"/>
          <w:szCs w:val="32"/>
        </w:rPr>
        <w:t>实施“治污碧水”、“降尘护蓝”工程。大力推进节能减排，淘汰落后产能，建立严格的环境准入制度、重污染企业退出机制和工业增加值污染物产生量、排放量评价制度；开展重金属、固体废物污染防治，</w:t>
      </w:r>
      <w:r>
        <w:rPr>
          <w:rFonts w:hint="eastAsia" w:ascii="宋体" w:hAnsi="宋体"/>
          <w:color w:val="auto"/>
          <w:szCs w:val="21"/>
        </w:rPr>
        <w:t>加大对金属矿采选、冶炼和黄姜皂素等行业的污染治理和尾矿库治理，</w:t>
      </w:r>
      <w:r>
        <w:rPr>
          <w:rFonts w:hint="eastAsia" w:ascii="仿宋_GB2312" w:hAnsi="仿宋" w:eastAsia="仿宋_GB2312"/>
          <w:color w:val="auto"/>
          <w:kern w:val="0"/>
          <w:szCs w:val="32"/>
        </w:rPr>
        <w:t>推进重点排污企业深度治理，加快重点污染企业退城入园改造，落实污染物减排考核指标。加强清洁生产技术改造，提高工业用水的循环利用率，确保区域发展与水资源承载能力相协调。</w:t>
      </w:r>
    </w:p>
    <w:p>
      <w:pPr>
        <w:spacing w:after="156" w:afterLines="50" w:line="610" w:lineRule="exact"/>
        <w:ind w:firstLine="643"/>
        <w:rPr>
          <w:rFonts w:hint="eastAsia" w:ascii="仿宋_GB2312" w:hAnsi="仿宋" w:eastAsia="仿宋_GB2312"/>
          <w:color w:val="auto"/>
          <w:kern w:val="0"/>
          <w:szCs w:val="32"/>
        </w:rPr>
      </w:pPr>
      <w:r>
        <w:rPr>
          <w:rFonts w:hint="eastAsia" w:ascii="仿宋_GB2312" w:hAnsi="仿宋" w:eastAsia="仿宋_GB2312"/>
          <w:b/>
          <w:bCs/>
          <w:color w:val="auto"/>
          <w:kern w:val="0"/>
          <w:szCs w:val="32"/>
        </w:rPr>
        <w:t>流域治理工程。</w:t>
      </w:r>
      <w:r>
        <w:rPr>
          <w:rFonts w:hint="eastAsia"/>
          <w:color w:val="auto"/>
          <w:szCs w:val="32"/>
        </w:rPr>
        <w:t>因地制宜建设河滨湿地和缓冲区域，对小流域汇集的面源污染实施生态拦截与净化，削减入河污染负荷；</w:t>
      </w:r>
      <w:r>
        <w:rPr>
          <w:rFonts w:hint="eastAsia" w:ascii="宋体" w:hAnsi="宋体"/>
          <w:color w:val="auto"/>
          <w:szCs w:val="21"/>
        </w:rPr>
        <w:t>在污染源相对集中地区的河道、滩涂地建设生态湿地和天然保护林，增强水源涵养和土壤保持能力；</w:t>
      </w:r>
      <w:r>
        <w:rPr>
          <w:rFonts w:hint="eastAsia"/>
          <w:color w:val="auto"/>
          <w:szCs w:val="32"/>
        </w:rPr>
        <w:t>在确保防洪防涝前提下，选择适宜性生态修复技术，采取适当的工程措施，增加河水入库前的滞留时间，净化径流污染物。限制在敏感水源区开展网箱养鱼及其他养殖项目，严格管控游船、货船运营。加强航运船舶污染防治，建立航运船舶含油污水、生活污水和垃圾收集处置长效机制。加强入河口污染治理和各县界水质自动监测站建设。</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316" w:type="dxa"/>
            <w:noWrap w:val="0"/>
            <w:vAlign w:val="top"/>
          </w:tcPr>
          <w:p>
            <w:pPr>
              <w:spacing w:before="156" w:beforeLines="50" w:after="156" w:afterLines="50" w:line="40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专栏10  环境治理工程</w:t>
            </w:r>
          </w:p>
          <w:p>
            <w:pPr>
              <w:spacing w:line="400" w:lineRule="exact"/>
              <w:ind w:firstLine="482"/>
              <w:jc w:val="left"/>
              <w:rPr>
                <w:rFonts w:hint="eastAsia" w:ascii="仿宋_GB2312" w:hAnsi="仿宋" w:eastAsia="仿宋_GB2312"/>
                <w:bCs/>
                <w:color w:val="auto"/>
                <w:sz w:val="24"/>
              </w:rPr>
            </w:pPr>
            <w:r>
              <w:rPr>
                <w:rFonts w:hint="eastAsia" w:ascii="仿宋_GB2312" w:hAnsi="仿宋" w:eastAsia="仿宋_GB2312"/>
                <w:b/>
                <w:color w:val="auto"/>
                <w:sz w:val="24"/>
              </w:rPr>
              <w:t>城镇污水处理：</w:t>
            </w:r>
            <w:r>
              <w:rPr>
                <w:rFonts w:hint="eastAsia" w:ascii="仿宋_GB2312" w:hAnsi="仿宋" w:eastAsia="仿宋_GB2312"/>
                <w:bCs/>
                <w:color w:val="auto"/>
                <w:sz w:val="24"/>
              </w:rPr>
              <w:t>完善城镇污水处理设施及配套管网，升级改造现有污水处理设施，在新建区和有条件的老城区建设雨污分流系统。基本实现沿汉、丹江建制镇全部建成污水集中处理设施。</w:t>
            </w:r>
          </w:p>
          <w:p>
            <w:pPr>
              <w:spacing w:line="400" w:lineRule="exact"/>
              <w:ind w:firstLine="482"/>
              <w:jc w:val="left"/>
              <w:rPr>
                <w:rFonts w:hint="eastAsia" w:ascii="仿宋_GB2312" w:hAnsi="仿宋" w:eastAsia="仿宋_GB2312"/>
                <w:bCs/>
                <w:color w:val="auto"/>
                <w:sz w:val="24"/>
              </w:rPr>
            </w:pPr>
            <w:r>
              <w:rPr>
                <w:rFonts w:hint="eastAsia" w:ascii="仿宋_GB2312" w:hAnsi="仿宋" w:eastAsia="仿宋_GB2312"/>
                <w:b/>
                <w:color w:val="auto"/>
                <w:sz w:val="24"/>
              </w:rPr>
              <w:t>城镇垃圾处理：</w:t>
            </w:r>
            <w:r>
              <w:rPr>
                <w:rFonts w:hint="eastAsia" w:ascii="仿宋_GB2312" w:hAnsi="仿宋" w:eastAsia="仿宋_GB2312"/>
                <w:bCs/>
                <w:color w:val="auto"/>
                <w:sz w:val="24"/>
              </w:rPr>
              <w:t>完善城</w:t>
            </w:r>
            <w:r>
              <w:rPr>
                <w:rFonts w:hint="eastAsia" w:ascii="仿宋_GB2312" w:hAnsi="仿宋" w:eastAsia="仿宋_GB2312"/>
                <w:bCs/>
                <w:color w:val="auto"/>
                <w:sz w:val="24"/>
                <w:lang w:eastAsia="zh-CN"/>
              </w:rPr>
              <w:t>市</w:t>
            </w:r>
            <w:r>
              <w:rPr>
                <w:rFonts w:hint="eastAsia" w:ascii="仿宋_GB2312" w:hAnsi="仿宋" w:eastAsia="仿宋_GB2312"/>
                <w:bCs/>
                <w:color w:val="auto"/>
                <w:sz w:val="24"/>
              </w:rPr>
              <w:t>垃圾填埋场的渗滤液收集和处置设施，新建部分生物堆肥、焚烧、水泥窑协同处置等垃圾处理设施。完善建制镇垃圾压缩及转运站等设施，购置垃圾清运设备。</w:t>
            </w:r>
          </w:p>
          <w:p>
            <w:pPr>
              <w:spacing w:line="400" w:lineRule="exact"/>
              <w:ind w:firstLine="482"/>
              <w:jc w:val="left"/>
              <w:rPr>
                <w:rFonts w:hint="eastAsia" w:ascii="仿宋_GB2312" w:hAnsi="仿宋" w:eastAsia="仿宋_GB2312"/>
                <w:bCs/>
                <w:color w:val="auto"/>
                <w:sz w:val="24"/>
              </w:rPr>
            </w:pPr>
            <w:r>
              <w:rPr>
                <w:rFonts w:hint="eastAsia" w:ascii="仿宋_GB2312" w:hAnsi="仿宋" w:eastAsia="仿宋_GB2312"/>
                <w:b/>
                <w:color w:val="auto"/>
                <w:sz w:val="24"/>
              </w:rPr>
              <w:t>工业污染治理：</w:t>
            </w:r>
            <w:r>
              <w:rPr>
                <w:rFonts w:hint="eastAsia" w:ascii="仿宋_GB2312" w:hAnsi="仿宋" w:eastAsia="仿宋_GB2312"/>
                <w:bCs/>
                <w:color w:val="auto"/>
                <w:sz w:val="24"/>
              </w:rPr>
              <w:t>以矿物采选和冶炼、汽车电镀、食品加工、中药材加工、农副产品加工等行业点源治理为重点，不断完善排放标准，加大污染治理力度。</w:t>
            </w:r>
          </w:p>
          <w:p>
            <w:pPr>
              <w:spacing w:line="400" w:lineRule="exact"/>
              <w:ind w:firstLine="482"/>
              <w:jc w:val="left"/>
              <w:rPr>
                <w:rFonts w:hint="eastAsia" w:ascii="仿宋_GB2312" w:hAnsi="仿宋" w:eastAsia="仿宋_GB2312"/>
                <w:bCs/>
                <w:color w:val="auto"/>
                <w:sz w:val="24"/>
              </w:rPr>
            </w:pPr>
            <w:r>
              <w:rPr>
                <w:rFonts w:hint="eastAsia" w:ascii="仿宋_GB2312" w:hAnsi="仿宋" w:eastAsia="仿宋_GB2312"/>
                <w:b/>
                <w:color w:val="auto"/>
                <w:sz w:val="24"/>
              </w:rPr>
              <w:t>农村面源治理：</w:t>
            </w:r>
            <w:r>
              <w:rPr>
                <w:rFonts w:hint="eastAsia" w:ascii="仿宋_GB2312" w:hAnsi="仿宋" w:eastAsia="仿宋_GB2312"/>
                <w:bCs/>
                <w:color w:val="auto"/>
                <w:sz w:val="24"/>
              </w:rPr>
              <w:t>实施化肥和农药零增长行动，鼓励农民增施有机肥，推广利用有机农药，净化农产品产地，鼓励企业回收废旧农膜。加大种养业特别是规模化畜禽养殖污染防治力度，支持种养一体循环农业试点和农牧业废物资源化利用示范。推广节能型灶具，加强农村垃圾收集、厕所等公共卫生设施建设，净化农村居民生活环境。</w:t>
            </w:r>
          </w:p>
          <w:p>
            <w:pPr>
              <w:spacing w:line="400" w:lineRule="exact"/>
              <w:ind w:firstLine="482"/>
              <w:jc w:val="left"/>
              <w:rPr>
                <w:rFonts w:hint="eastAsia" w:ascii="仿宋_GB2312" w:hAnsi="仿宋" w:eastAsia="仿宋_GB2312" w:cs="仿宋"/>
                <w:b/>
                <w:bCs/>
                <w:color w:val="auto"/>
                <w:sz w:val="24"/>
              </w:rPr>
            </w:pPr>
            <w:r>
              <w:rPr>
                <w:rFonts w:hint="eastAsia" w:ascii="仿宋_GB2312" w:hAnsi="仿宋" w:eastAsia="仿宋_GB2312"/>
                <w:b/>
                <w:color w:val="auto"/>
                <w:sz w:val="24"/>
              </w:rPr>
              <w:t>重点流域治理：</w:t>
            </w:r>
            <w:r>
              <w:rPr>
                <w:rFonts w:hint="eastAsia" w:ascii="仿宋_GB2312" w:hAnsi="仿宋" w:eastAsia="仿宋_GB2312"/>
                <w:bCs/>
                <w:color w:val="auto"/>
                <w:sz w:val="24"/>
              </w:rPr>
              <w:t>扎实推进汉江、丹江、嘉陵江、瀛湖湖泊综合治理，褒河、西汉水、月河、南江河等支流综合整治，建设汉、丹江两岸绿色生态缓冲带，加快县界水质自动检测体系建设。</w:t>
            </w:r>
          </w:p>
        </w:tc>
      </w:tr>
    </w:tbl>
    <w:p>
      <w:pPr>
        <w:pStyle w:val="3"/>
        <w:keepNext w:val="0"/>
        <w:keepLines w:val="0"/>
        <w:spacing w:before="156" w:beforeLines="50" w:after="156" w:afterLines="50"/>
        <w:rPr>
          <w:rFonts w:hint="eastAsia" w:ascii="黑体" w:hAnsi="黑体" w:eastAsia="黑体" w:cs="宋体"/>
          <w:b w:val="0"/>
          <w:color w:val="auto"/>
        </w:rPr>
      </w:pPr>
      <w:bookmarkStart w:id="101" w:name="_Toc5130"/>
      <w:r>
        <w:rPr>
          <w:rFonts w:hint="eastAsia" w:ascii="黑体" w:hAnsi="黑体" w:eastAsia="黑体" w:cs="宋体"/>
          <w:b w:val="0"/>
          <w:color w:val="auto"/>
        </w:rPr>
        <w:t>第四节  实施节能环保绿色行动</w:t>
      </w:r>
      <w:bookmarkEnd w:id="101"/>
    </w:p>
    <w:p>
      <w:pPr>
        <w:spacing w:line="640" w:lineRule="exact"/>
        <w:ind w:firstLine="643"/>
        <w:jc w:val="left"/>
        <w:rPr>
          <w:rFonts w:hint="eastAsia" w:ascii="仿宋_GB2312" w:hAnsi="仿宋" w:eastAsia="仿宋_GB2312"/>
          <w:color w:val="auto"/>
          <w:kern w:val="0"/>
          <w:szCs w:val="32"/>
        </w:rPr>
      </w:pPr>
      <w:r>
        <w:rPr>
          <w:rFonts w:hint="eastAsia" w:ascii="仿宋_GB2312" w:hAnsi="仿宋" w:eastAsia="仿宋_GB2312"/>
          <w:b/>
          <w:color w:val="auto"/>
          <w:kern w:val="0"/>
          <w:szCs w:val="32"/>
        </w:rPr>
        <w:t>加强资源节约利用。</w:t>
      </w:r>
      <w:r>
        <w:rPr>
          <w:rFonts w:hint="eastAsia" w:ascii="仿宋_GB2312" w:hAnsi="仿宋" w:eastAsia="仿宋_GB2312"/>
          <w:color w:val="auto"/>
          <w:kern w:val="0"/>
          <w:szCs w:val="32"/>
        </w:rPr>
        <w:t>强化城镇化过程中的节能理念，大力发展绿色建筑和低碳、便捷的交通体系，推进绿色生态城区建设。节约集约利用水、土地、矿产等资源，加强全过程管理，大幅降低资源消耗强度。推广高效节水技术和产品，发展节水农业，推进企业节水改造。大力推进生产生活方式绿色化，提高全民生态文明意识，广泛开展绿色生活行动，倡导绿色生活和休闲模式，积极培育绿色生活方式。</w:t>
      </w:r>
    </w:p>
    <w:p>
      <w:pPr>
        <w:spacing w:line="640" w:lineRule="exact"/>
        <w:ind w:firstLine="643"/>
        <w:jc w:val="left"/>
        <w:rPr>
          <w:rFonts w:hint="eastAsia" w:ascii="仿宋_GB2312" w:hAnsi="仿宋" w:eastAsia="仿宋_GB2312"/>
          <w:color w:val="auto"/>
          <w:kern w:val="0"/>
          <w:szCs w:val="32"/>
        </w:rPr>
      </w:pPr>
      <w:r>
        <w:rPr>
          <w:rFonts w:hint="eastAsia" w:ascii="仿宋_GB2312" w:hAnsi="仿宋" w:eastAsia="仿宋_GB2312"/>
          <w:b/>
          <w:color w:val="auto"/>
          <w:kern w:val="0"/>
          <w:szCs w:val="32"/>
        </w:rPr>
        <w:t>推进资源综合利用。</w:t>
      </w:r>
      <w:r>
        <w:rPr>
          <w:rFonts w:ascii="仿宋_GB2312" w:hAnsi="仿宋" w:eastAsia="仿宋_GB2312"/>
          <w:color w:val="auto"/>
          <w:kern w:val="0"/>
          <w:szCs w:val="32"/>
        </w:rPr>
        <w:t>推进城镇生活、建筑垃圾和农林废弃物资源化利用，实施垃圾秸秆焚烧发电、畜禽养殖及粪污综合利用等循环技术示范项目。建立完善再生资源回收体系，发展再生资源回收利用产业，建设再生资源产业园示范基地。</w:t>
      </w:r>
      <w:r>
        <w:rPr>
          <w:rFonts w:hint="eastAsia" w:ascii="仿宋_GB2312" w:hAnsi="仿宋" w:eastAsia="仿宋_GB2312"/>
          <w:color w:val="auto"/>
          <w:kern w:val="0"/>
          <w:szCs w:val="32"/>
        </w:rPr>
        <w:t>发展绿色矿业，加快发展绿色矿山建设，促进矿产资源高效利用。</w:t>
      </w:r>
      <w:r>
        <w:rPr>
          <w:rFonts w:ascii="仿宋_GB2312" w:hAnsi="仿宋" w:eastAsia="仿宋_GB2312"/>
          <w:color w:val="auto"/>
          <w:kern w:val="0"/>
          <w:szCs w:val="32"/>
        </w:rPr>
        <w:t>推进资源综合利用和再生利用，建设一批矿产资源综合利用示范项目。</w:t>
      </w:r>
    </w:p>
    <w:p>
      <w:pPr>
        <w:spacing w:line="640" w:lineRule="exact"/>
        <w:ind w:firstLine="643"/>
        <w:jc w:val="left"/>
        <w:rPr>
          <w:rFonts w:hint="eastAsia" w:ascii="仿宋_GB2312" w:hAnsi="仿宋" w:eastAsia="仿宋_GB2312"/>
          <w:color w:val="auto"/>
          <w:kern w:val="0"/>
          <w:szCs w:val="32"/>
        </w:rPr>
      </w:pPr>
      <w:r>
        <w:rPr>
          <w:rFonts w:hint="eastAsia" w:ascii="仿宋_GB2312" w:hAnsi="仿宋" w:eastAsia="仿宋_GB2312"/>
          <w:b/>
          <w:color w:val="auto"/>
          <w:kern w:val="0"/>
          <w:szCs w:val="32"/>
        </w:rPr>
        <w:t>积极应对气候变化。</w:t>
      </w:r>
      <w:r>
        <w:rPr>
          <w:rFonts w:hint="eastAsia" w:ascii="仿宋_GB2312" w:hAnsi="仿宋" w:eastAsia="仿宋_GB2312"/>
          <w:color w:val="auto"/>
          <w:kern w:val="0"/>
          <w:szCs w:val="32"/>
        </w:rPr>
        <w:t>综合运用调整产业结构和能源结构、节约能源和提高能效、增加森林碳汇等多种手段,大幅度降低能源消耗强度和二氧化碳排放强度,有效控制温室气体排放。在生产力布局、基础设施、重大项目规划设计和建设中,充分考虑气候变化因素。加强对极端天气和气候事件的监测、预警和预防,提高农业、林业、水资源、交通等重点领域和生态脆弱地区适应气候变化水平。</w:t>
      </w:r>
    </w:p>
    <w:p>
      <w:pPr>
        <w:pStyle w:val="2"/>
        <w:keepNext w:val="0"/>
        <w:keepLines w:val="0"/>
        <w:spacing w:before="312" w:beforeLines="100" w:after="312" w:afterLines="100"/>
        <w:jc w:val="center"/>
        <w:rPr>
          <w:rFonts w:hint="eastAsia" w:ascii="方正大标宋简体" w:hAnsi="黑体" w:eastAsia="方正大标宋简体" w:cs="黑体"/>
          <w:color w:val="auto"/>
        </w:rPr>
      </w:pPr>
      <w:bookmarkStart w:id="102" w:name="_Toc961"/>
      <w:r>
        <w:rPr>
          <w:rFonts w:hint="eastAsia" w:ascii="方正大标宋简体" w:hAnsi="黑体" w:eastAsia="方正大标宋简体" w:cs="黑体"/>
          <w:color w:val="auto"/>
        </w:rPr>
        <w:t>第六章  促进区域协作，实现开放发展</w:t>
      </w:r>
      <w:bookmarkEnd w:id="102"/>
    </w:p>
    <w:p>
      <w:pPr>
        <w:spacing w:line="610" w:lineRule="exact"/>
        <w:ind w:firstLine="640"/>
        <w:rPr>
          <w:rFonts w:hint="eastAsia" w:eastAsia="仿宋_GB2312"/>
          <w:color w:val="auto"/>
          <w:szCs w:val="32"/>
        </w:rPr>
      </w:pPr>
      <w:r>
        <w:rPr>
          <w:rFonts w:hint="eastAsia" w:eastAsia="仿宋_GB2312"/>
          <w:color w:val="auto"/>
          <w:szCs w:val="32"/>
        </w:rPr>
        <w:t>积极融入关天经济圈和丝绸之路经济带，主动对接“长江经济带”，深化毗邻城市合作，积极承接东部乃至国际产业转移，统筹综合基础设施建设，构建安全、高效、智慧、绿色的现代基础设施体系，筑牢绿色循环发展基础。</w:t>
      </w:r>
    </w:p>
    <w:p>
      <w:pPr>
        <w:pStyle w:val="3"/>
        <w:keepNext w:val="0"/>
        <w:keepLines w:val="0"/>
        <w:spacing w:before="156" w:beforeLines="50" w:after="156" w:afterLines="50"/>
        <w:rPr>
          <w:rFonts w:hint="eastAsia" w:ascii="黑体" w:hAnsi="黑体" w:eastAsia="黑体" w:cs="宋体"/>
          <w:b w:val="0"/>
          <w:color w:val="auto"/>
        </w:rPr>
      </w:pPr>
      <w:bookmarkStart w:id="103" w:name="_Toc14072"/>
      <w:r>
        <w:rPr>
          <w:rFonts w:hint="eastAsia" w:ascii="黑体" w:hAnsi="黑体" w:eastAsia="黑体" w:cs="宋体"/>
          <w:b w:val="0"/>
          <w:color w:val="auto"/>
        </w:rPr>
        <w:t>第一节  扩大区域协作</w:t>
      </w:r>
      <w:bookmarkEnd w:id="103"/>
    </w:p>
    <w:p>
      <w:pPr>
        <w:spacing w:line="610" w:lineRule="exact"/>
        <w:ind w:firstLine="640"/>
        <w:rPr>
          <w:rFonts w:hint="eastAsia" w:ascii="仿宋_GB2312" w:hAnsi="仿宋" w:eastAsia="仿宋_GB2312"/>
          <w:b/>
          <w:bCs/>
          <w:color w:val="auto"/>
          <w:kern w:val="0"/>
          <w:szCs w:val="32"/>
        </w:rPr>
      </w:pPr>
      <w:r>
        <w:rPr>
          <w:rFonts w:hint="eastAsia" w:ascii="仿宋_GB2312" w:hAnsi="仿宋" w:eastAsia="仿宋_GB2312"/>
          <w:color w:val="auto"/>
          <w:kern w:val="0"/>
          <w:szCs w:val="32"/>
        </w:rPr>
        <w:t>依托与周边毗邻省份的地缘优势积极对接“长江经济带”，主动参与十堰、武汉、重庆、成都等地的经济发展，主动承接毗邻省份的产业转移或共建产业园区，全面融入长江经济带通关一体化体系，使陕南经济版图向东向南拓展。加强与沿汉江城市和经济区联系，推动区域大协调联动发展，探索共建旅游文化融合发展创新示范区和跨省（市）产业合作园区，协同打造汉江生态经济带。依托“同饮一江清水”的水缘关系深化津陕合作，加大两地经济合作和产业转移，充分利用天津的科技、人才、资金、市场优势促进陕南的经济发展，共同构建水源南北共治、经济互利双赢的区域合作关系，同时要积极加强与北京、河南、河北等其他受水区省市的合作。充分发挥高速铁路、高速公路、城际铁路等交通优势，推进西（安）商（洛）一体化进程，积极承接关中、陕北产业转移，全方位加强能源、化工、先进制造、商贸物流、农产品加工等多领域合作，加快融入丝绸之路经济带。依托资源禀赋、产业结构和区位特点相近的优势，加强陕南各市县之间的合作，加快建立联动协作机制，突破市域县域行政区划限制，打通相邻县（市、区）“断头路”，加强电网、天然气管网等跨区域联网工程建设，形成区域内部互联互通，大范围调度整合资源，增强整体实力。</w:t>
      </w:r>
    </w:p>
    <w:p>
      <w:pPr>
        <w:pStyle w:val="3"/>
        <w:keepNext w:val="0"/>
        <w:keepLines w:val="0"/>
        <w:spacing w:before="156" w:beforeLines="50" w:after="156" w:afterLines="50"/>
        <w:rPr>
          <w:rFonts w:hint="eastAsia" w:ascii="黑体" w:hAnsi="黑体" w:eastAsia="黑体" w:cs="宋体"/>
          <w:b w:val="0"/>
          <w:color w:val="auto"/>
        </w:rPr>
      </w:pPr>
      <w:bookmarkStart w:id="104" w:name="_Toc13617"/>
      <w:r>
        <w:rPr>
          <w:rFonts w:hint="eastAsia" w:ascii="黑体" w:hAnsi="黑体" w:eastAsia="黑体" w:cs="宋体"/>
          <w:b w:val="0"/>
          <w:color w:val="auto"/>
        </w:rPr>
        <w:t>第二节  促进省际边界县开放合作</w:t>
      </w:r>
      <w:bookmarkEnd w:id="104"/>
    </w:p>
    <w:p>
      <w:pPr>
        <w:spacing w:before="156" w:beforeLines="50" w:line="610" w:lineRule="atLeast"/>
        <w:ind w:firstLine="640"/>
        <w:rPr>
          <w:rFonts w:hint="eastAsia" w:ascii="仿宋_GB2312" w:hAnsi="仿宋" w:eastAsia="仿宋_GB2312"/>
          <w:color w:val="auto"/>
          <w:kern w:val="0"/>
          <w:szCs w:val="32"/>
        </w:rPr>
      </w:pPr>
      <w:r>
        <w:rPr>
          <w:rFonts w:hint="eastAsia" w:ascii="仿宋_GB2312" w:hAnsi="仿宋" w:eastAsia="仿宋_GB2312"/>
          <w:color w:val="auto"/>
          <w:kern w:val="0"/>
          <w:szCs w:val="32"/>
        </w:rPr>
        <w:t>以省际边界县为节点，加快构建区域性交通枢纽和物流中心，打造省际边界开放经济带。探索基础设施共建共享机制，统筹推进高速公路、铁路等重大交通基础设施规划建设。推动产业分工协作，探索建设跨省（市）产业合作园区。加强生态环境共建共治，统筹推进秦岭、大巴山及汉江、丹江、嘉陵江流域生态建设和环境保护，共同打造国家生态文明先行示范区，探索共同创建秦岭国家公园。</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noWrap w:val="0"/>
            <w:vAlign w:val="top"/>
          </w:tcPr>
          <w:p>
            <w:pPr>
              <w:spacing w:before="156" w:beforeLines="50" w:after="156" w:afterLines="50" w:line="400" w:lineRule="exact"/>
              <w:ind w:firstLine="0" w:firstLineChars="0"/>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专栏11  省际边界县发展思路</w:t>
            </w:r>
          </w:p>
          <w:p>
            <w:pPr>
              <w:spacing w:line="400" w:lineRule="exact"/>
              <w:ind w:firstLine="482"/>
              <w:rPr>
                <w:rFonts w:hint="eastAsia" w:ascii="仿宋_GB2312" w:hAnsi="仿宋" w:eastAsia="仿宋_GB2312"/>
                <w:b/>
                <w:bCs/>
                <w:color w:val="auto"/>
                <w:sz w:val="24"/>
              </w:rPr>
            </w:pPr>
            <w:r>
              <w:rPr>
                <w:rFonts w:hint="eastAsia" w:ascii="仿宋_GB2312" w:hAnsi="仿宋" w:eastAsia="仿宋_GB2312"/>
                <w:b/>
                <w:bCs/>
                <w:color w:val="auto"/>
                <w:sz w:val="24"/>
              </w:rPr>
              <w:t>略阳：</w:t>
            </w:r>
            <w:r>
              <w:rPr>
                <w:rFonts w:hint="eastAsia" w:ascii="仿宋_GB2312" w:hAnsi="仿宋" w:eastAsia="仿宋_GB2312"/>
                <w:color w:val="auto"/>
                <w:sz w:val="24"/>
              </w:rPr>
              <w:t>依托十天高速等交通条件，以略阳为主体加强与陇南市毗邻县的经济协作，探索产业协作机制，积极融入关天经济区，着力把略阳建成陕甘川三省交界区重要物资集散地。</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宁强：</w:t>
            </w:r>
            <w:r>
              <w:rPr>
                <w:rFonts w:hint="eastAsia" w:ascii="仿宋_GB2312" w:hAnsi="仿宋" w:eastAsia="仿宋_GB2312"/>
                <w:color w:val="auto"/>
                <w:sz w:val="24"/>
              </w:rPr>
              <w:t>依托西汉高速、宝成铁路、西成客专、阳安铁路、108国道等交通优势，加强与甘肃省、四川省毗邻县在绿色产业、矿产开发、旅游服务等方面展开合作，着力将宁强的区位优势和资源优势转化为经济优势，把宁强建成陕甘川毗邻地区经济强县、旅游名县、生态大县。</w:t>
            </w:r>
          </w:p>
          <w:p>
            <w:pPr>
              <w:spacing w:line="400" w:lineRule="exact"/>
              <w:ind w:firstLine="482"/>
              <w:rPr>
                <w:rFonts w:hint="eastAsia" w:ascii="仿宋_GB2312" w:hAnsi="仿宋" w:eastAsia="仿宋_GB2312"/>
                <w:b/>
                <w:bCs/>
                <w:color w:val="auto"/>
                <w:sz w:val="24"/>
              </w:rPr>
            </w:pPr>
            <w:r>
              <w:rPr>
                <w:rFonts w:hint="eastAsia" w:ascii="仿宋_GB2312" w:hAnsi="仿宋" w:eastAsia="仿宋_GB2312"/>
                <w:b/>
                <w:bCs/>
                <w:color w:val="auto"/>
                <w:sz w:val="24"/>
              </w:rPr>
              <w:t>南郑：</w:t>
            </w:r>
            <w:r>
              <w:rPr>
                <w:rFonts w:hint="eastAsia" w:ascii="仿宋_GB2312" w:hAnsi="仿宋" w:eastAsia="仿宋_GB2312"/>
                <w:color w:val="auto"/>
                <w:sz w:val="24"/>
              </w:rPr>
              <w:t>依托宝汉高速，加强与四川南江县、旺苍县的经济合作，积极融入长江经济带，充分发挥米仓山-大巴山生态资源优势，把南郑建成陕川边境区生态休闲旅游体验地。</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镇巴：</w:t>
            </w:r>
            <w:r>
              <w:rPr>
                <w:rFonts w:hint="eastAsia" w:ascii="仿宋_GB2312" w:hAnsi="仿宋" w:eastAsia="仿宋_GB2312"/>
                <w:color w:val="auto"/>
                <w:sz w:val="24"/>
              </w:rPr>
              <w:t>依托210国道、包茂高速等主要交通条件，打通南下四川、重庆、融入长江经济带的大通道，以镇巴为主体，加强与紫阳县、万源县、通江</w:t>
            </w:r>
            <w:r>
              <w:rPr>
                <w:rFonts w:hint="eastAsia" w:ascii="仿宋_GB2312" w:hAnsi="仿宋" w:eastAsia="仿宋_GB2312"/>
                <w:color w:val="auto"/>
                <w:sz w:val="24"/>
                <w:lang w:eastAsia="zh-CN"/>
              </w:rPr>
              <w:t>县</w:t>
            </w:r>
            <w:r>
              <w:rPr>
                <w:rFonts w:hint="eastAsia" w:ascii="仿宋_GB2312" w:hAnsi="仿宋" w:eastAsia="仿宋_GB2312"/>
                <w:color w:val="auto"/>
                <w:sz w:val="24"/>
              </w:rPr>
              <w:t>之间的经济协作，依托油气资源储量优势，建设陕川毗邻地区清洁能源协作开发新区。</w:t>
            </w:r>
          </w:p>
          <w:p>
            <w:pPr>
              <w:spacing w:line="400" w:lineRule="exact"/>
              <w:ind w:firstLine="482"/>
              <w:rPr>
                <w:rFonts w:hint="eastAsia" w:ascii="仿宋_GB2312" w:hAnsi="仿宋" w:eastAsia="仿宋_GB2312"/>
                <w:b/>
                <w:bCs/>
                <w:color w:val="auto"/>
                <w:sz w:val="24"/>
              </w:rPr>
            </w:pPr>
            <w:r>
              <w:rPr>
                <w:rFonts w:hint="eastAsia" w:ascii="仿宋_GB2312" w:hAnsi="仿宋" w:eastAsia="仿宋_GB2312"/>
                <w:b/>
                <w:bCs/>
                <w:color w:val="auto"/>
                <w:sz w:val="24"/>
              </w:rPr>
              <w:t>紫阳:</w:t>
            </w:r>
            <w:r>
              <w:rPr>
                <w:rFonts w:hint="eastAsia" w:ascii="仿宋_GB2312" w:hAnsi="仿宋" w:eastAsia="仿宋_GB2312"/>
                <w:color w:val="auto"/>
                <w:sz w:val="24"/>
              </w:rPr>
              <w:t>依托襄渝铁路、包茂高速，加强与镇巴县、四川万源市、重庆城口县的经济合作，融入重庆经济圈，发挥富硒资源优势、生态资源优势、深厚的道文化底蕴优势，打造陕川渝结合部独具魅力的民俗生态旅游目的地。</w:t>
            </w:r>
          </w:p>
          <w:p>
            <w:pPr>
              <w:spacing w:line="400" w:lineRule="exact"/>
              <w:ind w:firstLine="482"/>
              <w:rPr>
                <w:rFonts w:hint="eastAsia" w:ascii="仿宋_GB2312" w:hAnsi="仿宋" w:eastAsia="仿宋_GB2312"/>
                <w:b/>
                <w:bCs/>
                <w:color w:val="auto"/>
                <w:sz w:val="24"/>
              </w:rPr>
            </w:pPr>
            <w:r>
              <w:rPr>
                <w:rFonts w:hint="eastAsia" w:ascii="仿宋_GB2312" w:hAnsi="仿宋" w:eastAsia="仿宋_GB2312"/>
                <w:b/>
                <w:bCs/>
                <w:color w:val="auto"/>
                <w:sz w:val="24"/>
              </w:rPr>
              <w:t>岚皋：</w:t>
            </w:r>
            <w:r>
              <w:rPr>
                <w:rFonts w:hint="eastAsia" w:ascii="仿宋_GB2312" w:hAnsi="仿宋" w:eastAsia="仿宋_GB2312"/>
                <w:color w:val="auto"/>
                <w:sz w:val="24"/>
              </w:rPr>
              <w:t>依托城岚高速，加强与城口县的经济合作，积极融入重庆经济圈，依托南宫山、千层河、花里镇等特色旅游资源，开发跨陕渝地区旅游环线，强化旅游服务设施建设，打造区域内最美休闲县城。</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镇坪：</w:t>
            </w:r>
            <w:r>
              <w:rPr>
                <w:rFonts w:hint="eastAsia" w:ascii="仿宋_GB2312" w:hAnsi="仿宋" w:eastAsia="仿宋_GB2312"/>
                <w:color w:val="auto"/>
                <w:sz w:val="24"/>
              </w:rPr>
              <w:t>依托包海铁路、平镇高速，加强与重庆的巫溪县、城口县和湖北的竹溪县在旅游、交通、产业等方面展开合作，主动融入长江经济带和重庆、武汉经济圈，着力建设陕渝鄂边界区休闲度假养生目的地。</w:t>
            </w:r>
          </w:p>
          <w:p>
            <w:pPr>
              <w:spacing w:line="400" w:lineRule="exact"/>
              <w:ind w:firstLine="482"/>
              <w:rPr>
                <w:rFonts w:hint="eastAsia" w:ascii="仿宋_GB2312" w:hAnsi="仿宋" w:eastAsia="仿宋_GB2312"/>
                <w:b/>
                <w:bCs/>
                <w:color w:val="auto"/>
                <w:sz w:val="24"/>
              </w:rPr>
            </w:pPr>
            <w:r>
              <w:rPr>
                <w:rFonts w:hint="eastAsia" w:ascii="仿宋_GB2312" w:hAnsi="仿宋" w:eastAsia="仿宋_GB2312"/>
                <w:b/>
                <w:bCs/>
                <w:color w:val="auto"/>
                <w:sz w:val="24"/>
              </w:rPr>
              <w:t>平利:</w:t>
            </w:r>
            <w:r>
              <w:rPr>
                <w:rFonts w:hint="eastAsia" w:ascii="仿宋_GB2312" w:hAnsi="仿宋" w:eastAsia="仿宋_GB2312"/>
                <w:color w:val="auto"/>
                <w:sz w:val="24"/>
              </w:rPr>
              <w:t>依托安平高速，加强与重庆巫溪县、城口县和湖北竹溪县的经济合作，打通南下重庆、襄阳的大通道，促进与毗邻县的互联互通，建设陕鄂渝交界区商贸物流中心。</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旬阳：</w:t>
            </w:r>
            <w:r>
              <w:rPr>
                <w:rFonts w:hint="eastAsia" w:ascii="仿宋_GB2312" w:hAnsi="仿宋" w:eastAsia="仿宋_GB2312"/>
                <w:color w:val="auto"/>
                <w:sz w:val="24"/>
              </w:rPr>
              <w:t>依托十天高速、襄渝铁路等交通条件，积极推动与湖北毗邻县的互联互通，加强与勋西、竹溪、竹山在旅游、产业等方面的合作，着力建设成为陕鄂边境的重要协作开放区。</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白河：</w:t>
            </w:r>
            <w:r>
              <w:rPr>
                <w:rFonts w:hint="eastAsia" w:ascii="仿宋_GB2312" w:hAnsi="仿宋" w:eastAsia="仿宋_GB2312"/>
                <w:color w:val="auto"/>
                <w:sz w:val="24"/>
              </w:rPr>
              <w:t>依托襄渝铁路、十天高速、316国道、汉江航道等主要交通条件，加强与湖北勋县、竹山县在产业发展、景区建设、水源保护等方面合作，主动融入汉江经济带，打造丹江口库区上游水资源涵养保护示范区。</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镇安：</w:t>
            </w:r>
            <w:r>
              <w:rPr>
                <w:rFonts w:hint="eastAsia" w:ascii="仿宋_GB2312" w:hAnsi="仿宋" w:eastAsia="仿宋_GB2312"/>
                <w:color w:val="auto"/>
                <w:sz w:val="24"/>
              </w:rPr>
              <w:t>加强与宁陕、湖北勋西等县的产业合作，依托木王山、塔云山等优质旅游资源，建设陕鄂地区生态休闲度假旅游目的地。</w:t>
            </w:r>
          </w:p>
          <w:p>
            <w:pPr>
              <w:spacing w:line="400" w:lineRule="exact"/>
              <w:ind w:firstLine="482"/>
              <w:rPr>
                <w:rFonts w:hint="eastAsia" w:ascii="仿宋_GB2312" w:hAnsi="仿宋" w:eastAsia="仿宋_GB2312"/>
                <w:b/>
                <w:bCs/>
                <w:color w:val="auto"/>
                <w:sz w:val="24"/>
              </w:rPr>
            </w:pPr>
            <w:r>
              <w:rPr>
                <w:rFonts w:hint="eastAsia" w:ascii="仿宋_GB2312" w:hAnsi="仿宋" w:eastAsia="仿宋_GB2312"/>
                <w:b/>
                <w:bCs/>
                <w:color w:val="auto"/>
                <w:sz w:val="24"/>
              </w:rPr>
              <w:t>山阳：</w:t>
            </w:r>
            <w:r>
              <w:rPr>
                <w:rFonts w:hint="eastAsia" w:ascii="仿宋_GB2312" w:hAnsi="仿宋" w:eastAsia="仿宋_GB2312"/>
                <w:color w:val="auto"/>
                <w:sz w:val="24"/>
              </w:rPr>
              <w:t>依托福银高速等交通条件，加强与湖北勋西县的产业合作，积极融入武汉经济圈，在钒矿深加工、旅游推介、电子商务利用、农产品深加工等方面引领地区率先发展。</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商南：</w:t>
            </w:r>
            <w:r>
              <w:rPr>
                <w:rFonts w:hint="eastAsia" w:ascii="仿宋_GB2312" w:hAnsi="仿宋" w:eastAsia="仿宋_GB2312"/>
                <w:color w:val="auto"/>
                <w:sz w:val="24"/>
              </w:rPr>
              <w:t>依托沪陕高速、西武客专、312国道等主要交通条件，加强与湖北勋西县、河南西峡县在生态旅游、特色农业等方面进行合作，着力建成陕豫鄂结合部生态旅游目的地。</w:t>
            </w:r>
          </w:p>
          <w:p>
            <w:pPr>
              <w:spacing w:line="400" w:lineRule="exact"/>
              <w:ind w:firstLine="482"/>
              <w:rPr>
                <w:rFonts w:hint="eastAsia" w:ascii="仿宋_GB2312" w:hAnsi="仿宋" w:eastAsia="仿宋_GB2312"/>
                <w:b/>
                <w:bCs/>
                <w:color w:val="auto"/>
                <w:sz w:val="24"/>
              </w:rPr>
            </w:pPr>
            <w:r>
              <w:rPr>
                <w:rFonts w:hint="eastAsia" w:ascii="仿宋_GB2312" w:hAnsi="仿宋" w:eastAsia="仿宋_GB2312"/>
                <w:b/>
                <w:bCs/>
                <w:color w:val="auto"/>
                <w:sz w:val="24"/>
              </w:rPr>
              <w:t>洛南：</w:t>
            </w:r>
            <w:r>
              <w:rPr>
                <w:rFonts w:hint="eastAsia" w:ascii="仿宋_GB2312" w:hAnsi="仿宋" w:eastAsia="仿宋_GB2312"/>
                <w:color w:val="auto"/>
                <w:sz w:val="24"/>
              </w:rPr>
              <w:t>依托202国道、榆商高速等主要交通条件，加强与华县、华阴、蓝田和河南灵宝、卢氏地区在旅游、特色农业等方面进行合作，建成陕豫地区特色农产品重要产出地。</w:t>
            </w:r>
          </w:p>
        </w:tc>
      </w:tr>
    </w:tbl>
    <w:p>
      <w:pPr>
        <w:pStyle w:val="3"/>
        <w:keepNext w:val="0"/>
        <w:keepLines w:val="0"/>
        <w:spacing w:before="156" w:beforeLines="50" w:after="156" w:afterLines="50"/>
        <w:rPr>
          <w:rFonts w:hint="eastAsia" w:ascii="黑体" w:hAnsi="黑体" w:eastAsia="黑体" w:cs="宋体"/>
          <w:b w:val="0"/>
          <w:color w:val="auto"/>
        </w:rPr>
      </w:pPr>
      <w:bookmarkStart w:id="105" w:name="_Toc22042"/>
      <w:r>
        <w:rPr>
          <w:rFonts w:hint="eastAsia" w:ascii="黑体" w:hAnsi="黑体" w:eastAsia="黑体" w:cs="宋体"/>
          <w:b w:val="0"/>
          <w:color w:val="auto"/>
        </w:rPr>
        <w:t>第三节  构建互联互通综合保障体系</w:t>
      </w:r>
      <w:bookmarkEnd w:id="105"/>
    </w:p>
    <w:p>
      <w:pPr>
        <w:spacing w:before="156" w:beforeLines="50" w:after="156" w:afterLines="50" w:line="610" w:lineRule="exact"/>
        <w:ind w:firstLine="643"/>
        <w:rPr>
          <w:rFonts w:hint="eastAsia" w:ascii="仿宋_GB2312" w:hAnsi="仿宋" w:eastAsia="仿宋_GB2312"/>
          <w:bCs/>
          <w:color w:val="auto"/>
          <w:szCs w:val="32"/>
        </w:rPr>
      </w:pPr>
      <w:r>
        <w:rPr>
          <w:rFonts w:hint="eastAsia" w:ascii="仿宋_GB2312" w:hAnsi="仿宋" w:eastAsia="仿宋_GB2312"/>
          <w:b/>
          <w:bCs/>
          <w:color w:val="auto"/>
          <w:szCs w:val="32"/>
        </w:rPr>
        <w:t>交通设施。</w:t>
      </w:r>
      <w:r>
        <w:rPr>
          <w:rFonts w:hint="eastAsia" w:ascii="仿宋_GB2312" w:hAnsi="仿宋" w:eastAsia="仿宋_GB2312"/>
          <w:color w:val="auto"/>
          <w:szCs w:val="32"/>
        </w:rPr>
        <w:t>加强客运专线、快速铁路、城际铁路建设，强化既有线路扩能改造，形成连接成都、西安、重庆、武汉等快速通道，提升区域性铁路枢纽功能。统筹推进高速公路、干线公路、农村公路、旅游公路建设，加快高速公路拥堵、瓶颈路段及国省干线公路扩能改造，有序实施农村公路、桥涵配套建设及危桥改造，推进重点园区、景区连接线建设，基本实现市市通高铁、县县通高速、大部分重点示范镇和文化旅游名镇通二级以上公路，提高路网通达能力。全面加强汉江航道整治，提升航道等级，畅通与长江黄金水道的联系，推进内河港口和专业化货运码头建设，完善集疏运配套基础设施，加快沿江沿河小型码头和库区湖泊等封闭水域旅游码头、渡口建设，改善群众出行和旅游发展条件。加大汉中机场国内航线开通力度，</w:t>
      </w:r>
      <w:r>
        <w:rPr>
          <w:rFonts w:hint="eastAsia" w:ascii="仿宋_GB2312" w:hAnsi="仿宋" w:eastAsia="仿宋_GB2312"/>
          <w:bCs/>
          <w:color w:val="auto"/>
          <w:szCs w:val="32"/>
        </w:rPr>
        <w:t>建成安康新机场，增强航空客货集散能力，有序推进通用航空机场建设。</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039" w:type="dxa"/>
            <w:noWrap w:val="0"/>
            <w:vAlign w:val="top"/>
          </w:tcPr>
          <w:p>
            <w:pPr>
              <w:spacing w:before="156" w:beforeLines="50" w:after="156" w:afterLines="50" w:line="40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专栏12  重点交通建设工程</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铁路建设：</w:t>
            </w:r>
            <w:r>
              <w:rPr>
                <w:rFonts w:hint="eastAsia" w:ascii="仿宋_GB2312" w:hAnsi="仿宋" w:eastAsia="仿宋_GB2312"/>
                <w:color w:val="auto"/>
                <w:sz w:val="24"/>
              </w:rPr>
              <w:t>建成西安—成都客运专线、阳平关—安康铁路复线；建成兰渝-阳安连络线；规划建设黄陵—汉中—重庆铁路、西安-重庆客运专线、西安—武汉客运专线；争取开工建设安康-张家界-衡阳铁路，谋划建设宜川-大荔-安康、安康-荆门铁路；规划建设西安—安康城际铁路、西安—商洛（商州）城际铁路。</w:t>
            </w:r>
          </w:p>
          <w:p>
            <w:pPr>
              <w:spacing w:line="400" w:lineRule="exact"/>
              <w:ind w:firstLine="482"/>
              <w:rPr>
                <w:rFonts w:hint="eastAsia" w:ascii="仿宋_GB2312" w:hAnsi="楷体" w:eastAsia="仿宋_GB2312" w:cs="楷体"/>
                <w:color w:val="auto"/>
                <w:sz w:val="24"/>
              </w:rPr>
            </w:pPr>
            <w:r>
              <w:rPr>
                <w:rFonts w:hint="eastAsia" w:ascii="仿宋_GB2312" w:hAnsi="楷体" w:eastAsia="仿宋_GB2312" w:cs="楷体"/>
                <w:b/>
                <w:bCs/>
                <w:color w:val="auto"/>
                <w:sz w:val="24"/>
              </w:rPr>
              <w:t>公路建设：</w:t>
            </w:r>
            <w:r>
              <w:rPr>
                <w:rFonts w:hint="eastAsia" w:ascii="仿宋_GB2312" w:hAnsi="楷体" w:eastAsia="仿宋_GB2312" w:cs="楷体"/>
                <w:color w:val="auto"/>
                <w:sz w:val="24"/>
              </w:rPr>
              <w:t>规划建设西乡</w:t>
            </w:r>
            <w:r>
              <w:rPr>
                <w:rFonts w:hint="eastAsia" w:ascii="仿宋_GB2312" w:hAnsi="仿宋" w:eastAsia="仿宋_GB2312"/>
                <w:color w:val="auto"/>
                <w:sz w:val="24"/>
              </w:rPr>
              <w:t>—</w:t>
            </w:r>
            <w:r>
              <w:rPr>
                <w:rFonts w:hint="eastAsia" w:ascii="仿宋_GB2312" w:hAnsi="楷体" w:eastAsia="仿宋_GB2312" w:cs="楷体"/>
                <w:color w:val="auto"/>
                <w:sz w:val="24"/>
              </w:rPr>
              <w:t>镇巴</w:t>
            </w:r>
            <w:r>
              <w:rPr>
                <w:rFonts w:hint="eastAsia" w:ascii="仿宋_GB2312" w:hAnsi="仿宋" w:eastAsia="仿宋_GB2312"/>
                <w:color w:val="auto"/>
                <w:sz w:val="24"/>
              </w:rPr>
              <w:t>—</w:t>
            </w:r>
            <w:r>
              <w:rPr>
                <w:rFonts w:hint="eastAsia" w:ascii="仿宋_GB2312" w:hAnsi="楷体" w:eastAsia="仿宋_GB2312" w:cs="楷体"/>
                <w:color w:val="auto"/>
                <w:sz w:val="24"/>
              </w:rPr>
              <w:t>陕川界、安康</w:t>
            </w:r>
            <w:r>
              <w:rPr>
                <w:rFonts w:hint="eastAsia" w:ascii="仿宋_GB2312" w:hAnsi="仿宋" w:eastAsia="仿宋_GB2312"/>
                <w:color w:val="auto"/>
                <w:sz w:val="24"/>
              </w:rPr>
              <w:t>—</w:t>
            </w:r>
            <w:r>
              <w:rPr>
                <w:rFonts w:hint="eastAsia" w:ascii="仿宋_GB2312" w:hAnsi="楷体" w:eastAsia="仿宋_GB2312" w:cs="楷体"/>
                <w:color w:val="auto"/>
                <w:sz w:val="24"/>
              </w:rPr>
              <w:t>岚皋</w:t>
            </w:r>
            <w:r>
              <w:rPr>
                <w:rFonts w:hint="eastAsia" w:ascii="仿宋_GB2312" w:hAnsi="仿宋" w:eastAsia="仿宋_GB2312"/>
                <w:color w:val="auto"/>
                <w:sz w:val="24"/>
              </w:rPr>
              <w:t>—</w:t>
            </w:r>
            <w:r>
              <w:rPr>
                <w:rFonts w:hint="eastAsia" w:ascii="仿宋_GB2312" w:hAnsi="楷体" w:eastAsia="仿宋_GB2312" w:cs="楷体"/>
                <w:color w:val="auto"/>
                <w:sz w:val="24"/>
              </w:rPr>
              <w:t>陕渝界、平利</w:t>
            </w:r>
            <w:r>
              <w:rPr>
                <w:rFonts w:hint="eastAsia" w:ascii="仿宋_GB2312" w:hAnsi="仿宋" w:eastAsia="仿宋_GB2312"/>
                <w:color w:val="auto"/>
                <w:sz w:val="24"/>
              </w:rPr>
              <w:t>—</w:t>
            </w:r>
            <w:r>
              <w:rPr>
                <w:rFonts w:hint="eastAsia" w:ascii="仿宋_GB2312" w:hAnsi="楷体" w:eastAsia="仿宋_GB2312" w:cs="楷体"/>
                <w:color w:val="auto"/>
                <w:sz w:val="24"/>
              </w:rPr>
              <w:t>镇坪、华阴</w:t>
            </w:r>
            <w:r>
              <w:rPr>
                <w:rFonts w:hint="eastAsia" w:ascii="仿宋_GB2312" w:hAnsi="仿宋" w:eastAsia="仿宋_GB2312"/>
                <w:color w:val="auto"/>
                <w:sz w:val="24"/>
              </w:rPr>
              <w:t>—洛南、</w:t>
            </w:r>
            <w:r>
              <w:rPr>
                <w:rFonts w:hint="eastAsia" w:ascii="仿宋_GB2312" w:hAnsi="楷体" w:eastAsia="仿宋_GB2312" w:cs="楷体"/>
                <w:color w:val="auto"/>
                <w:sz w:val="24"/>
              </w:rPr>
              <w:t>镇安</w:t>
            </w:r>
            <w:r>
              <w:rPr>
                <w:rFonts w:hint="eastAsia" w:ascii="仿宋_GB2312" w:hAnsi="仿宋" w:eastAsia="仿宋_GB2312"/>
                <w:color w:val="auto"/>
                <w:sz w:val="24"/>
              </w:rPr>
              <w:t>—</w:t>
            </w:r>
            <w:r>
              <w:rPr>
                <w:rFonts w:hint="eastAsia" w:ascii="仿宋_GB2312" w:hAnsi="楷体" w:eastAsia="仿宋_GB2312" w:cs="楷体"/>
                <w:color w:val="auto"/>
                <w:sz w:val="24"/>
              </w:rPr>
              <w:t>宁陕、小河</w:t>
            </w:r>
            <w:r>
              <w:rPr>
                <w:rFonts w:hint="eastAsia" w:ascii="仿宋_GB2312" w:hAnsi="仿宋" w:eastAsia="仿宋_GB2312"/>
                <w:color w:val="auto"/>
                <w:sz w:val="24"/>
              </w:rPr>
              <w:t>—旬阳、</w:t>
            </w:r>
            <w:r>
              <w:rPr>
                <w:rFonts w:hint="eastAsia" w:ascii="仿宋_GB2312" w:hAnsi="楷体" w:eastAsia="仿宋_GB2312" w:cs="楷体"/>
                <w:color w:val="auto"/>
                <w:sz w:val="24"/>
              </w:rPr>
              <w:t>石泉</w:t>
            </w:r>
            <w:r>
              <w:rPr>
                <w:rFonts w:hint="eastAsia" w:ascii="仿宋_GB2312" w:hAnsi="仿宋" w:eastAsia="仿宋_GB2312"/>
                <w:color w:val="auto"/>
                <w:sz w:val="24"/>
              </w:rPr>
              <w:t>—</w:t>
            </w:r>
            <w:r>
              <w:rPr>
                <w:rFonts w:hint="eastAsia" w:ascii="仿宋_GB2312" w:hAnsi="楷体" w:eastAsia="仿宋_GB2312" w:cs="楷体"/>
                <w:color w:val="auto"/>
                <w:sz w:val="24"/>
              </w:rPr>
              <w:t>筒车湾、竹林关-山阳高速公路，续建山阳</w:t>
            </w:r>
            <w:r>
              <w:rPr>
                <w:rFonts w:hint="eastAsia" w:ascii="仿宋_GB2312" w:hAnsi="仿宋" w:eastAsia="仿宋_GB2312"/>
                <w:color w:val="auto"/>
                <w:sz w:val="24"/>
              </w:rPr>
              <w:t>—</w:t>
            </w:r>
            <w:r>
              <w:rPr>
                <w:rFonts w:hint="eastAsia" w:ascii="仿宋_GB2312" w:hAnsi="楷体" w:eastAsia="仿宋_GB2312" w:cs="楷体"/>
                <w:color w:val="auto"/>
                <w:sz w:val="24"/>
              </w:rPr>
              <w:t>柞水、宝鸡</w:t>
            </w:r>
            <w:r>
              <w:rPr>
                <w:rFonts w:hint="eastAsia" w:ascii="仿宋_GB2312" w:hAnsi="仿宋" w:eastAsia="仿宋_GB2312"/>
                <w:color w:val="auto"/>
                <w:sz w:val="24"/>
              </w:rPr>
              <w:t>—</w:t>
            </w:r>
            <w:r>
              <w:rPr>
                <w:rFonts w:hint="eastAsia" w:ascii="仿宋_GB2312" w:hAnsi="楷体" w:eastAsia="仿宋_GB2312" w:cs="楷体"/>
                <w:color w:val="auto"/>
                <w:sz w:val="24"/>
              </w:rPr>
              <w:t>汉中高速公路，筹划建设宁强县城—宁强青木川—甘肃文县等高速公路；推动佛坪—周至等二级公路升级改造，安康</w:t>
            </w:r>
            <w:r>
              <w:rPr>
                <w:rFonts w:hint="eastAsia" w:ascii="仿宋_GB2312" w:hAnsi="仿宋" w:eastAsia="仿宋_GB2312"/>
                <w:color w:val="auto"/>
                <w:sz w:val="24"/>
              </w:rPr>
              <w:t>—</w:t>
            </w:r>
            <w:r>
              <w:rPr>
                <w:rFonts w:hint="eastAsia" w:ascii="仿宋_GB2312" w:hAnsi="楷体" w:eastAsia="仿宋_GB2312" w:cs="楷体"/>
                <w:color w:val="auto"/>
                <w:sz w:val="24"/>
              </w:rPr>
              <w:t>旬阳</w:t>
            </w:r>
            <w:r>
              <w:rPr>
                <w:rFonts w:hint="eastAsia" w:ascii="仿宋_GB2312" w:hAnsi="仿宋" w:eastAsia="仿宋_GB2312"/>
                <w:color w:val="auto"/>
                <w:sz w:val="24"/>
              </w:rPr>
              <w:t>—</w:t>
            </w:r>
            <w:r>
              <w:rPr>
                <w:rFonts w:hint="eastAsia" w:ascii="仿宋_GB2312" w:hAnsi="楷体" w:eastAsia="仿宋_GB2312" w:cs="楷体"/>
                <w:color w:val="auto"/>
                <w:sz w:val="24"/>
              </w:rPr>
              <w:t>白河、旬阳甘溪</w:t>
            </w:r>
            <w:r>
              <w:rPr>
                <w:rFonts w:hint="eastAsia" w:ascii="仿宋_GB2312" w:hAnsi="仿宋" w:eastAsia="仿宋_GB2312"/>
                <w:color w:val="auto"/>
                <w:sz w:val="24"/>
              </w:rPr>
              <w:t>—</w:t>
            </w:r>
            <w:r>
              <w:rPr>
                <w:rFonts w:hint="eastAsia" w:ascii="仿宋_GB2312" w:hAnsi="楷体" w:eastAsia="仿宋_GB2312" w:cs="楷体"/>
                <w:color w:val="auto"/>
                <w:sz w:val="24"/>
              </w:rPr>
              <w:t>小河、石泉两河</w:t>
            </w:r>
            <w:r>
              <w:rPr>
                <w:rFonts w:hint="eastAsia" w:ascii="仿宋_GB2312" w:hAnsi="仿宋" w:eastAsia="仿宋_GB2312"/>
                <w:color w:val="auto"/>
                <w:sz w:val="24"/>
              </w:rPr>
              <w:t>—</w:t>
            </w:r>
            <w:r>
              <w:rPr>
                <w:rFonts w:hint="eastAsia" w:ascii="仿宋_GB2312" w:hAnsi="楷体" w:eastAsia="仿宋_GB2312" w:cs="楷体"/>
                <w:color w:val="auto"/>
                <w:sz w:val="24"/>
              </w:rPr>
              <w:t>宁陕、平利</w:t>
            </w:r>
            <w:r>
              <w:rPr>
                <w:rFonts w:hint="eastAsia" w:ascii="仿宋_GB2312" w:hAnsi="仿宋" w:eastAsia="仿宋_GB2312"/>
                <w:color w:val="auto"/>
                <w:sz w:val="24"/>
              </w:rPr>
              <w:t>—</w:t>
            </w:r>
            <w:r>
              <w:rPr>
                <w:rFonts w:hint="eastAsia" w:ascii="仿宋_GB2312" w:hAnsi="楷体" w:eastAsia="仿宋_GB2312" w:cs="楷体"/>
                <w:color w:val="auto"/>
                <w:sz w:val="24"/>
              </w:rPr>
              <w:t>镇坪、石泉</w:t>
            </w:r>
            <w:r>
              <w:rPr>
                <w:rFonts w:hint="eastAsia" w:ascii="仿宋_GB2312" w:hAnsi="仿宋" w:eastAsia="仿宋_GB2312"/>
                <w:color w:val="auto"/>
                <w:sz w:val="24"/>
              </w:rPr>
              <w:t>—</w:t>
            </w:r>
            <w:r>
              <w:rPr>
                <w:rFonts w:hint="eastAsia" w:ascii="仿宋_GB2312" w:hAnsi="楷体" w:eastAsia="仿宋_GB2312" w:cs="楷体"/>
                <w:color w:val="auto"/>
                <w:sz w:val="24"/>
              </w:rPr>
              <w:t>紫阳</w:t>
            </w:r>
            <w:r>
              <w:rPr>
                <w:rFonts w:hint="eastAsia" w:ascii="仿宋_GB2312" w:hAnsi="仿宋" w:eastAsia="仿宋_GB2312"/>
                <w:color w:val="auto"/>
                <w:sz w:val="24"/>
              </w:rPr>
              <w:t>—</w:t>
            </w:r>
            <w:r>
              <w:rPr>
                <w:rFonts w:hint="eastAsia" w:ascii="仿宋_GB2312" w:hAnsi="楷体" w:eastAsia="仿宋_GB2312" w:cs="楷体"/>
                <w:color w:val="auto"/>
                <w:sz w:val="24"/>
              </w:rPr>
              <w:t>岚皋公路改造，太白</w:t>
            </w:r>
            <w:r>
              <w:rPr>
                <w:rFonts w:hint="eastAsia" w:ascii="仿宋_GB2312" w:hAnsi="仿宋" w:eastAsia="仿宋_GB2312"/>
                <w:color w:val="auto"/>
                <w:sz w:val="24"/>
              </w:rPr>
              <w:t>—</w:t>
            </w:r>
            <w:r>
              <w:rPr>
                <w:rFonts w:hint="eastAsia" w:ascii="仿宋_GB2312" w:hAnsi="楷体" w:eastAsia="仿宋_GB2312" w:cs="楷体"/>
                <w:color w:val="auto"/>
                <w:sz w:val="24"/>
              </w:rPr>
              <w:t>洋县红色旅游线路建设；全面完成县乡油路改造工程和通村公路完善工程，实现具备条件的乡镇和行政村通沥青（水泥）路；全面完善核心聚集区及重点工业园区道路工程。</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水运建设：</w:t>
            </w:r>
            <w:r>
              <w:rPr>
                <w:rFonts w:hint="eastAsia" w:ascii="仿宋_GB2312" w:hAnsi="仿宋" w:eastAsia="仿宋_GB2312"/>
                <w:bCs/>
                <w:color w:val="auto"/>
                <w:sz w:val="24"/>
              </w:rPr>
              <w:t>推进汉中</w:t>
            </w:r>
            <w:r>
              <w:rPr>
                <w:rFonts w:hint="eastAsia" w:ascii="仿宋_GB2312" w:hAnsi="仿宋" w:eastAsia="仿宋_GB2312"/>
                <w:color w:val="auto"/>
                <w:sz w:val="24"/>
              </w:rPr>
              <w:t>—洋县—安康航道综合整治、安康—白河国家高等级航道建设，加强汉江安康中心港、岚皋渔政码头、白河港、洋县黄金峡码头、西乡三花石、茶镇码头建设。</w:t>
            </w:r>
          </w:p>
          <w:p>
            <w:pPr>
              <w:spacing w:line="400" w:lineRule="exact"/>
              <w:ind w:firstLine="482"/>
              <w:rPr>
                <w:rFonts w:hint="eastAsia" w:ascii="仿宋_GB2312" w:hAnsi="仿宋" w:eastAsia="仿宋_GB2312" w:cs="仿宋"/>
                <w:b/>
                <w:bCs/>
                <w:color w:val="auto"/>
                <w:sz w:val="24"/>
              </w:rPr>
            </w:pPr>
            <w:r>
              <w:rPr>
                <w:rFonts w:hint="eastAsia" w:ascii="仿宋_GB2312" w:hAnsi="仿宋" w:eastAsia="仿宋_GB2312"/>
                <w:b/>
                <w:bCs/>
                <w:color w:val="auto"/>
                <w:sz w:val="24"/>
              </w:rPr>
              <w:t>机场建设：</w:t>
            </w:r>
            <w:r>
              <w:rPr>
                <w:rFonts w:hint="eastAsia" w:ascii="仿宋_GB2312" w:hAnsi="仿宋" w:eastAsia="仿宋_GB2312"/>
                <w:color w:val="auto"/>
                <w:sz w:val="24"/>
              </w:rPr>
              <w:t>建成安康新机场，推进商洛支线机场前期工作；建设汉中南郑、西乡通用机场</w:t>
            </w:r>
            <w:r>
              <w:rPr>
                <w:rFonts w:hint="eastAsia" w:ascii="仿宋_GB2312" w:hAnsi="仿宋" w:eastAsia="仿宋_GB2312"/>
                <w:color w:val="auto"/>
                <w:sz w:val="24"/>
                <w:highlight w:val="none"/>
              </w:rPr>
              <w:t>，安康岚皋</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镇坪通用机场</w:t>
            </w:r>
            <w:r>
              <w:rPr>
                <w:rFonts w:hint="eastAsia" w:ascii="仿宋_GB2312" w:hAnsi="仿宋" w:eastAsia="仿宋_GB2312"/>
                <w:color w:val="auto"/>
                <w:sz w:val="24"/>
                <w:highlight w:val="none"/>
                <w:lang w:eastAsia="zh-CN"/>
              </w:rPr>
              <w:t>和</w:t>
            </w:r>
            <w:r>
              <w:rPr>
                <w:rFonts w:hint="eastAsia" w:ascii="仿宋_GB2312" w:hAnsi="仿宋" w:eastAsia="仿宋_GB2312"/>
                <w:color w:val="auto"/>
                <w:sz w:val="24"/>
              </w:rPr>
              <w:t>商洛丹凤通用机场。</w:t>
            </w:r>
          </w:p>
        </w:tc>
      </w:tr>
    </w:tbl>
    <w:p>
      <w:pPr>
        <w:spacing w:after="156" w:afterLines="50" w:line="610" w:lineRule="exact"/>
        <w:ind w:right="-22" w:rightChars="-7" w:firstLine="643"/>
        <w:rPr>
          <w:rFonts w:hint="eastAsia" w:ascii="楷体_GB2312" w:hAnsi="仿宋" w:eastAsia="楷体_GB2312"/>
          <w:b/>
          <w:color w:val="auto"/>
          <w:sz w:val="28"/>
          <w:szCs w:val="28"/>
        </w:rPr>
      </w:pPr>
      <w:r>
        <w:rPr>
          <w:rFonts w:hint="eastAsia" w:ascii="仿宋_GB2312" w:hAnsi="仿宋" w:eastAsia="仿宋_GB2312" w:cs="仿宋"/>
          <w:b/>
          <w:bCs/>
          <w:color w:val="auto"/>
          <w:szCs w:val="32"/>
        </w:rPr>
        <w:t>水利设施。</w:t>
      </w:r>
      <w:r>
        <w:rPr>
          <w:rFonts w:hint="eastAsia" w:ascii="仿宋_GB2312" w:hAnsi="仿宋" w:eastAsia="仿宋_GB2312" w:cs="仿宋"/>
          <w:color w:val="auto"/>
          <w:szCs w:val="32"/>
        </w:rPr>
        <w:t>加快建设一批区域性重点水源工程和灌区工程，全面增强水资源保障能力。围绕生态环境保护和水源涵养，加快月河流域水资源配置工程建设，推进引嘉济汉工程前期工作。加快实施城乡供水工程和农村安全饮水工程。</w:t>
      </w:r>
      <w:bookmarkStart w:id="106" w:name="_Toc419723750"/>
      <w:r>
        <w:rPr>
          <w:rFonts w:hint="eastAsia" w:ascii="仿宋_GB2312" w:hAnsi="仿宋" w:eastAsia="仿宋_GB2312" w:cs="仿宋"/>
          <w:color w:val="auto"/>
          <w:szCs w:val="32"/>
        </w:rPr>
        <w:t>推进中小型水库、“五小”水利工程建设，完善引提水和渠系配套设施，加快中小灌区节水改造、小型农田水利建设重点县、农业高效节水灌溉等项目建设。全面开展汉江、丹江等重要河流防洪治理，基本完成中小河流治理、病险水库除险加固和山洪灾害防御项目建设。加快抗洪应急水源建设，提高枯水年份抗旱应急能力。加强防洪抗旱指挥调度系统建设，完善陕南地区防洪抗旱减灾体系，显著降低水旱灾害造成的损失。</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08" w:type="dxa"/>
            <w:noWrap w:val="0"/>
            <w:vAlign w:val="top"/>
          </w:tcPr>
          <w:p>
            <w:pPr>
              <w:spacing w:before="156" w:beforeLines="50" w:after="156" w:afterLines="50" w:line="400" w:lineRule="exact"/>
              <w:ind w:firstLine="0" w:firstLineChars="0"/>
              <w:jc w:val="center"/>
              <w:rPr>
                <w:rFonts w:hint="eastAsia" w:ascii="仿宋_GB2312" w:hAnsi="仿宋" w:eastAsia="仿宋_GB2312" w:cs="仿宋"/>
                <w:color w:val="auto"/>
                <w:sz w:val="28"/>
                <w:szCs w:val="28"/>
              </w:rPr>
            </w:pPr>
            <w:r>
              <w:rPr>
                <w:rFonts w:hint="eastAsia" w:ascii="仿宋_GB2312" w:hAnsi="仿宋" w:eastAsia="仿宋_GB2312"/>
                <w:b/>
                <w:color w:val="auto"/>
                <w:sz w:val="28"/>
                <w:szCs w:val="28"/>
              </w:rPr>
              <w:t>专栏13  重点水利工程</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大型水库及灌区工程：</w:t>
            </w:r>
            <w:r>
              <w:rPr>
                <w:rFonts w:hint="eastAsia" w:ascii="仿宋_GB2312" w:hAnsi="仿宋" w:eastAsia="仿宋_GB2312"/>
                <w:color w:val="auto"/>
                <w:sz w:val="24"/>
              </w:rPr>
              <w:t>加快建设汉江干流黄金峡水利枢纽、子午河三河口水利枢纽、焦岩水库、月河补水工程，实施石门水库大型灌区及各市县灌区节水改造工程。</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中型水库工程：</w:t>
            </w:r>
            <w:r>
              <w:rPr>
                <w:rFonts w:hint="eastAsia" w:ascii="仿宋_GB2312" w:hAnsi="仿宋" w:eastAsia="仿宋_GB2312"/>
                <w:color w:val="auto"/>
                <w:sz w:val="24"/>
              </w:rPr>
              <w:t>建设南郑云河、汉阴洞河、洛南张坪、镇安云镇、旬阳冷水河、石泉双营、汉滨恒河等水库。</w:t>
            </w:r>
          </w:p>
          <w:p>
            <w:pPr>
              <w:spacing w:line="400" w:lineRule="exact"/>
              <w:ind w:firstLine="482"/>
              <w:rPr>
                <w:rFonts w:hint="eastAsia" w:ascii="楷体_GB2312" w:hAnsi="仿宋" w:eastAsia="楷体_GB2312"/>
                <w:color w:val="auto"/>
                <w:sz w:val="24"/>
              </w:rPr>
            </w:pPr>
            <w:r>
              <w:rPr>
                <w:rFonts w:hint="eastAsia" w:ascii="仿宋_GB2312" w:hAnsi="仿宋" w:eastAsia="仿宋_GB2312"/>
                <w:b/>
                <w:bCs/>
                <w:color w:val="auto"/>
                <w:sz w:val="24"/>
              </w:rPr>
              <w:t>防洪工程：</w:t>
            </w:r>
            <w:r>
              <w:rPr>
                <w:rFonts w:hint="eastAsia" w:ascii="仿宋_GB2312" w:hAnsi="仿宋" w:eastAsia="仿宋_GB2312"/>
                <w:color w:val="auto"/>
                <w:sz w:val="24"/>
              </w:rPr>
              <w:t>重点实施汉江、丹江、嘉陵江等主要河流防洪工程，开展洪涝频发、灾害严重的重点中小流域治理工程，实施病险水库加固工程及山洪地质灾害防治工程。</w:t>
            </w:r>
          </w:p>
        </w:tc>
      </w:tr>
      <w:bookmarkEnd w:id="106"/>
    </w:tbl>
    <w:p>
      <w:pPr>
        <w:adjustRightInd w:val="0"/>
        <w:snapToGrid w:val="0"/>
        <w:spacing w:before="156" w:beforeLines="50" w:line="610" w:lineRule="exact"/>
        <w:ind w:firstLine="643"/>
        <w:rPr>
          <w:rFonts w:hint="eastAsia" w:ascii="仿宋_GB2312" w:hAnsi="仿宋" w:eastAsia="仿宋_GB2312" w:cs="仿宋"/>
          <w:color w:val="auto"/>
          <w:szCs w:val="32"/>
        </w:rPr>
      </w:pPr>
      <w:bookmarkStart w:id="107" w:name="_Toc419723751"/>
      <w:r>
        <w:rPr>
          <w:rFonts w:hint="eastAsia" w:ascii="仿宋_GB2312" w:hAnsi="仿宋" w:eastAsia="仿宋_GB2312" w:cs="仿宋"/>
          <w:b/>
          <w:bCs/>
          <w:color w:val="auto"/>
          <w:szCs w:val="32"/>
        </w:rPr>
        <w:t>能源信息设施。</w:t>
      </w:r>
      <w:r>
        <w:rPr>
          <w:rFonts w:hint="eastAsia" w:ascii="仿宋_GB2312" w:hAnsi="仿宋" w:eastAsia="仿宋_GB2312" w:cs="仿宋"/>
          <w:bCs/>
          <w:color w:val="auto"/>
          <w:szCs w:val="32"/>
        </w:rPr>
        <w:t>按照</w:t>
      </w:r>
      <w:r>
        <w:rPr>
          <w:rFonts w:hint="eastAsia" w:ascii="仿宋_GB2312" w:hAnsi="仿宋" w:eastAsia="仿宋_GB2312" w:cs="仿宋"/>
          <w:color w:val="auto"/>
          <w:szCs w:val="32"/>
        </w:rPr>
        <w:t>大中小型电站并举方式，有序推进汉江、嘉陵江等流域水电开发，优化发展煤电，积极开展核电前期研究。完善覆盖城乡的输配电体系，完成新一轮农网改造升级工程。大力开发利用页岩气、风能、生物质能、太阳能等新能源。加强城镇燃气设施、管网及专用储气设施建设改造，建成西安至安康天然气长输管线，完善各工业园区输配气管网，支持发展天然气分布式能源。大力推进“三网融合”，优先实施“宽带中国”战略、“宽带乡村”工程，加快推进光纤宽带网络建设，力争到2020年陕南所有自然村基本实现通宽带。全面实施移动通信网络升级工程，实现三市电话区号统一，尽快建成基站布局科学、通信覆盖全面的移动通信系统，积极推进4G移动通信网络建设。支持汉中、安康、商洛等区域性中心城市开展数字城市、智慧城市建设，推进区域一体化信息服务平台建设，</w:t>
      </w:r>
      <w:r>
        <w:rPr>
          <w:rFonts w:ascii="宋体" w:hAnsi="宋体"/>
          <w:color w:val="auto"/>
          <w:szCs w:val="21"/>
        </w:rPr>
        <w:t>实现三市城区宽带无线网络全覆盖</w:t>
      </w:r>
      <w:r>
        <w:rPr>
          <w:rFonts w:hint="eastAsia" w:ascii="仿宋_GB2312" w:hAnsi="仿宋" w:eastAsia="仿宋_GB2312" w:cs="仿宋"/>
          <w:color w:val="auto"/>
          <w:szCs w:val="32"/>
        </w:rPr>
        <w:t>。启动实施一批综合性网络应用工程、公益性信息服务工程，加快重大应用网络平台建设。</w:t>
      </w:r>
    </w:p>
    <w:p>
      <w:pPr>
        <w:adjustRightInd w:val="0"/>
        <w:snapToGrid w:val="0"/>
        <w:spacing w:before="156" w:beforeLines="50" w:line="610" w:lineRule="exact"/>
        <w:ind w:firstLine="640"/>
        <w:rPr>
          <w:rFonts w:hint="eastAsia" w:ascii="仿宋_GB2312" w:hAnsi="仿宋" w:eastAsia="仿宋_GB2312" w:cs="仿宋"/>
          <w:color w:val="auto"/>
          <w:szCs w:val="3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522" w:type="dxa"/>
            <w:noWrap w:val="0"/>
            <w:vAlign w:val="top"/>
          </w:tcPr>
          <w:p>
            <w:pPr>
              <w:spacing w:before="156" w:beforeLines="50" w:after="156" w:afterLines="50" w:line="40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专栏14  能源信息建设工程</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电力：</w:t>
            </w:r>
            <w:r>
              <w:rPr>
                <w:rFonts w:hint="eastAsia" w:ascii="仿宋_GB2312" w:hAnsi="仿宋" w:eastAsia="仿宋_GB2312"/>
                <w:color w:val="auto"/>
                <w:sz w:val="24"/>
              </w:rPr>
              <w:t>建设汉中市2×100万千瓦火力发电厂、商洛2×60万千瓦火力发电厂、华电安康电厂、中广核白河水电站、大唐旬阳水电站、镇安抽水蓄能电站、黄金峡水电站，实施一批光伏、风力和生物质能发电项目。</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电网：</w:t>
            </w:r>
            <w:r>
              <w:rPr>
                <w:rFonts w:hint="eastAsia" w:ascii="仿宋_GB2312" w:hAnsi="仿宋" w:eastAsia="仿宋_GB2312"/>
                <w:color w:val="auto"/>
                <w:sz w:val="24"/>
              </w:rPr>
              <w:t>华电安康电厂送出工程，酒泉至湖南±800千伏直流输电线路工程（陕南段）、新疆准东-皖南±1100千伏特高压直流输电工程（陕南段），西成高铁供电工程等项目，农村电网改造工程。</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lang w:val="en-US" w:eastAsia="zh-CN"/>
              </w:rPr>
              <w:t>天然</w:t>
            </w:r>
            <w:r>
              <w:rPr>
                <w:rFonts w:hint="eastAsia" w:ascii="仿宋_GB2312" w:hAnsi="仿宋" w:eastAsia="仿宋_GB2312"/>
                <w:b/>
                <w:bCs/>
                <w:color w:val="auto"/>
                <w:sz w:val="24"/>
              </w:rPr>
              <w:t>气：</w:t>
            </w:r>
            <w:r>
              <w:rPr>
                <w:rFonts w:hint="eastAsia" w:ascii="仿宋_GB2312" w:hAnsi="仿宋" w:eastAsia="仿宋_GB2312"/>
                <w:color w:val="auto"/>
                <w:sz w:val="24"/>
              </w:rPr>
              <w:t>继续实施气化陕南工程，扩大城镇天然气覆盖范围。建设气田至重点工业园区及县城输气管道；西气东输三线工程。</w:t>
            </w:r>
          </w:p>
          <w:p>
            <w:pPr>
              <w:spacing w:line="400" w:lineRule="exact"/>
              <w:ind w:firstLine="482"/>
              <w:rPr>
                <w:rFonts w:hint="eastAsia" w:ascii="仿宋_GB2312" w:hAnsi="仿宋" w:eastAsia="仿宋_GB2312"/>
                <w:b/>
                <w:color w:val="auto"/>
                <w:sz w:val="24"/>
              </w:rPr>
            </w:pPr>
            <w:r>
              <w:rPr>
                <w:rFonts w:hint="eastAsia" w:ascii="仿宋_GB2312" w:hAnsi="仿宋" w:eastAsia="仿宋_GB2312"/>
                <w:b/>
                <w:color w:val="auto"/>
                <w:sz w:val="24"/>
              </w:rPr>
              <w:t>通信：</w:t>
            </w:r>
            <w:r>
              <w:rPr>
                <w:rFonts w:hint="eastAsia" w:ascii="仿宋_GB2312" w:hAnsi="仿宋" w:eastAsia="仿宋_GB2312"/>
                <w:color w:val="auto"/>
                <w:sz w:val="24"/>
              </w:rPr>
              <w:t>智慧汉中、安康、商洛建设工程。</w:t>
            </w:r>
          </w:p>
        </w:tc>
      </w:tr>
      <w:bookmarkEnd w:id="107"/>
    </w:tbl>
    <w:p>
      <w:pPr>
        <w:pStyle w:val="2"/>
        <w:keepNext w:val="0"/>
        <w:keepLines w:val="0"/>
        <w:spacing w:before="312" w:beforeLines="100" w:after="312" w:afterLines="100"/>
        <w:jc w:val="center"/>
        <w:rPr>
          <w:rFonts w:hint="eastAsia" w:ascii="方正大标宋简体" w:hAnsi="黑体" w:eastAsia="方正大标宋简体" w:cs="黑体"/>
          <w:color w:val="auto"/>
        </w:rPr>
      </w:pPr>
      <w:bookmarkStart w:id="108" w:name="_Toc14103"/>
      <w:r>
        <w:rPr>
          <w:rFonts w:hint="eastAsia" w:ascii="方正大标宋简体" w:hAnsi="黑体" w:eastAsia="方正大标宋简体" w:cs="黑体"/>
          <w:color w:val="auto"/>
        </w:rPr>
        <w:t>第七章  增进民生福祉，实现共享发展</w:t>
      </w:r>
      <w:bookmarkEnd w:id="108"/>
    </w:p>
    <w:p>
      <w:pPr>
        <w:spacing w:line="610" w:lineRule="atLeast"/>
        <w:ind w:firstLine="640"/>
        <w:rPr>
          <w:rFonts w:hint="eastAsia" w:eastAsia="仿宋_GB2312"/>
          <w:color w:val="auto"/>
          <w:szCs w:val="32"/>
        </w:rPr>
      </w:pPr>
      <w:r>
        <w:rPr>
          <w:rFonts w:hint="eastAsia" w:eastAsia="仿宋_GB2312"/>
          <w:color w:val="auto"/>
          <w:szCs w:val="32"/>
        </w:rPr>
        <w:t>按照中省脱贫攻坚部署，深入实施脱贫攻坚、移民搬迁、老区振兴工程，全力打赢脱贫攻坚战；坚持以人为核心的新型城镇化，划定城镇发展边界控制线，着力完善城镇的发展功能、服务功能、人居功能，全面提升城乡公共服务及管理水平，建设生态宜居的新型城镇和美丽乡村，推动城乡一体化发展，打造绿色循环发展平台。</w:t>
      </w:r>
    </w:p>
    <w:p>
      <w:pPr>
        <w:pStyle w:val="3"/>
        <w:keepNext w:val="0"/>
        <w:keepLines w:val="0"/>
        <w:spacing w:before="156" w:beforeLines="50" w:after="156" w:afterLines="50"/>
        <w:rPr>
          <w:rFonts w:hint="eastAsia" w:ascii="黑体" w:hAnsi="黑体" w:eastAsia="黑体" w:cs="宋体"/>
          <w:b w:val="0"/>
          <w:color w:val="auto"/>
        </w:rPr>
      </w:pPr>
      <w:bookmarkStart w:id="109" w:name="_Toc17833"/>
      <w:r>
        <w:rPr>
          <w:rFonts w:hint="eastAsia" w:ascii="黑体" w:hAnsi="黑体" w:eastAsia="黑体" w:cs="宋体"/>
          <w:b w:val="0"/>
          <w:color w:val="auto"/>
        </w:rPr>
        <w:t>第一节  打赢脱贫攻坚战</w:t>
      </w:r>
      <w:bookmarkEnd w:id="109"/>
    </w:p>
    <w:p>
      <w:pPr>
        <w:spacing w:line="610" w:lineRule="exact"/>
        <w:ind w:firstLine="643"/>
        <w:rPr>
          <w:rFonts w:hint="eastAsia" w:ascii="仿宋_GB2312" w:hAnsi="仿宋_GB2312" w:eastAsia="仿宋_GB2312" w:cs="仿宋_GB2312"/>
          <w:color w:val="auto"/>
          <w:szCs w:val="32"/>
        </w:rPr>
      </w:pPr>
      <w:bookmarkStart w:id="110" w:name="_Toc419723758"/>
      <w:r>
        <w:rPr>
          <w:rFonts w:hint="eastAsia"/>
          <w:b/>
          <w:bCs/>
          <w:color w:val="auto"/>
        </w:rPr>
        <w:t>改善贫困乡村生产生活条件</w:t>
      </w:r>
      <w:bookmarkEnd w:id="110"/>
      <w:r>
        <w:rPr>
          <w:rFonts w:hint="eastAsia"/>
          <w:b/>
          <w:bCs/>
          <w:color w:val="auto"/>
        </w:rPr>
        <w:t>。</w:t>
      </w:r>
      <w:bookmarkStart w:id="111" w:name="_Toc26296"/>
      <w:bookmarkStart w:id="112" w:name="_Toc6517"/>
      <w:r>
        <w:rPr>
          <w:rFonts w:hint="eastAsia" w:ascii="仿宋_GB2312" w:hAnsi="仿宋_GB2312" w:eastAsia="仿宋_GB2312" w:cs="仿宋_GB2312"/>
          <w:color w:val="auto"/>
          <w:szCs w:val="32"/>
        </w:rPr>
        <w:t>加大农村安全饮水工程投入力度，全面解决所有建档立卡贫困村、贫困户的饮水安全保障问题。继续加大农村电网升级改造力度，重点解决边远村落群众生产生活用电问题。以建制村通硬化路为重点，加快乡村道路建设，推动农村公路建设向贫困自然村延伸。扩大农村危房改造、农房抗震改造资金规模，扎实推进避灾扶贫移民搬迁工程，切实解决农村居民住房安全问题。</w:t>
      </w:r>
      <w:bookmarkEnd w:id="111"/>
      <w:bookmarkEnd w:id="112"/>
      <w:r>
        <w:rPr>
          <w:rFonts w:hint="eastAsia" w:ascii="仿宋_GB2312" w:hAnsi="仿宋_GB2312" w:eastAsia="仿宋_GB2312" w:cs="仿宋_GB2312"/>
          <w:color w:val="auto"/>
          <w:szCs w:val="32"/>
        </w:rPr>
        <w:t>加大以工代赈投入力度，重点支持建设农田水利、乡村道路等中小型公益性基础设施，并积极向建档立卡贫困村倾斜。深入实施整村推进，以县为平台，统筹整合各类涉农资金和社会帮扶资源，建设公益设施较为完善的农村社区。加快实施宽带乡村工程，推进“互联网+”农产品销售建设，促进电子商务在贫困村发展。</w:t>
      </w:r>
    </w:p>
    <w:p>
      <w:pPr>
        <w:spacing w:line="610" w:lineRule="exact"/>
        <w:ind w:firstLine="643"/>
        <w:rPr>
          <w:rFonts w:hint="eastAsia" w:ascii="仿宋_GB2312" w:hAnsi="仿宋_GB2312" w:eastAsia="仿宋_GB2312" w:cs="仿宋_GB2312"/>
          <w:color w:val="auto"/>
          <w:szCs w:val="32"/>
        </w:rPr>
      </w:pPr>
      <w:bookmarkStart w:id="113" w:name="_Toc419723759"/>
      <w:r>
        <w:rPr>
          <w:rFonts w:hint="eastAsia"/>
          <w:b/>
          <w:bCs/>
          <w:color w:val="auto"/>
        </w:rPr>
        <w:t>“五个一批”全面精准脱贫</w:t>
      </w:r>
      <w:bookmarkEnd w:id="113"/>
      <w:r>
        <w:rPr>
          <w:rFonts w:hint="eastAsia"/>
          <w:b/>
          <w:bCs/>
          <w:color w:val="auto"/>
        </w:rPr>
        <w:t>。</w:t>
      </w:r>
      <w:r>
        <w:rPr>
          <w:rFonts w:hint="eastAsia" w:ascii="仿宋_GB2312" w:hAnsi="仿宋_GB2312" w:eastAsia="仿宋_GB2312" w:cs="仿宋_GB2312"/>
          <w:b/>
          <w:color w:val="auto"/>
          <w:szCs w:val="32"/>
        </w:rPr>
        <w:t>发展生产脱贫一批，</w:t>
      </w:r>
      <w:r>
        <w:rPr>
          <w:rFonts w:hint="eastAsia" w:ascii="仿宋_GB2312" w:hAnsi="仿宋_GB2312" w:eastAsia="仿宋_GB2312" w:cs="仿宋_GB2312"/>
          <w:color w:val="auto"/>
          <w:szCs w:val="32"/>
        </w:rPr>
        <w:t>深入实施</w:t>
      </w:r>
      <w:r>
        <w:rPr>
          <w:rFonts w:hint="eastAsia" w:eastAsia="仿宋_GB2312"/>
          <w:color w:val="auto"/>
          <w:szCs w:val="32"/>
        </w:rPr>
        <w:t>推进旅游扶贫、光伏扶贫、电商扶贫等工程</w:t>
      </w:r>
      <w:r>
        <w:rPr>
          <w:rFonts w:hint="eastAsia" w:ascii="仿宋_GB2312" w:hAnsi="仿宋_GB2312" w:eastAsia="仿宋_GB2312" w:cs="仿宋_GB2312"/>
          <w:color w:val="auto"/>
          <w:szCs w:val="32"/>
        </w:rPr>
        <w:t>，带动贫困农户脱贫致富；开展资产收益扶贫试点，将部分财政专项扶贫资金投入设施农业、高效养殖、水利电力、乡村旅游等项目，形成资产量化折股配置给建档立卡贫困户，让贫困户直接分享股份分红收益；加大扶贫小额信贷支持力度，扶持地区有劳动能力的建档立卡贫困户发展特色产业。</w:t>
      </w:r>
      <w:r>
        <w:rPr>
          <w:rFonts w:hint="eastAsia" w:ascii="仿宋_GB2312" w:hAnsi="仿宋_GB2312" w:eastAsia="仿宋_GB2312" w:cs="仿宋_GB2312"/>
          <w:b/>
          <w:color w:val="auto"/>
          <w:szCs w:val="32"/>
        </w:rPr>
        <w:t>易地搬迁脱贫一批，</w:t>
      </w:r>
      <w:r>
        <w:rPr>
          <w:rFonts w:hint="eastAsia" w:ascii="仿宋_GB2312" w:hAnsi="仿宋_GB2312" w:eastAsia="仿宋_GB2312" w:cs="仿宋_GB2312"/>
          <w:color w:val="auto"/>
          <w:szCs w:val="32"/>
        </w:rPr>
        <w:t>对陕南地区不具备基本生存发展条件的农村贫困人口，在群众自愿的基础上，全部实施易地扶贫搬迁，并</w:t>
      </w:r>
      <w:r>
        <w:rPr>
          <w:rFonts w:hint="eastAsia" w:ascii="仿宋_GB2312" w:hAnsi="仿宋" w:eastAsia="仿宋_GB2312" w:cs="仿宋"/>
          <w:color w:val="auto"/>
          <w:szCs w:val="32"/>
        </w:rPr>
        <w:t>做到扶贫移民建房、基础设施建设、后续产业培植、社区化管理等项目同步规划、同步实施、同步推进，彻底解决贫困群众生存发展的后顾之忧。</w:t>
      </w:r>
      <w:r>
        <w:rPr>
          <w:rFonts w:hint="eastAsia" w:eastAsia="仿宋_GB2312"/>
          <w:b/>
          <w:bCs/>
          <w:color w:val="auto"/>
          <w:szCs w:val="32"/>
        </w:rPr>
        <w:t>生态补偿帮扶一批，</w:t>
      </w:r>
      <w:r>
        <w:rPr>
          <w:rFonts w:hint="eastAsia" w:eastAsia="仿宋_GB2312"/>
          <w:color w:val="auto"/>
          <w:szCs w:val="32"/>
        </w:rPr>
        <w:t>依托中省生态补偿和转移支付资金，创新资金使用方式，提取一定比例资金用于直补贫困户；鼓励环境敏感区内的贫困户就地成为护林员等生态保护人员，实现保护环境、增加收入，让贫困群众从生态建设与修复中得到更多实惠。</w:t>
      </w:r>
      <w:r>
        <w:rPr>
          <w:rFonts w:hint="eastAsia" w:ascii="仿宋_GB2312" w:hAnsi="仿宋_GB2312" w:eastAsia="仿宋_GB2312" w:cs="仿宋_GB2312"/>
          <w:b/>
          <w:color w:val="auto"/>
          <w:szCs w:val="32"/>
        </w:rPr>
        <w:t>发展教育支持一批，</w:t>
      </w:r>
      <w:r>
        <w:rPr>
          <w:rFonts w:hint="eastAsia" w:ascii="仿宋_GB2312" w:hAnsi="仿宋_GB2312" w:eastAsia="仿宋_GB2312" w:cs="仿宋_GB2312"/>
          <w:color w:val="auto"/>
          <w:szCs w:val="32"/>
        </w:rPr>
        <w:t>大力实施教育扶贫工程，帮助家庭经济困难儿童、孤儿和残疾儿童接受普惠性学前教育，对区域内贫困家庭继续升学的应届初、高中毕业学生免费提供职业教育培训；实施劳动力终身免费职业教育，建立陕南与发达地区劳务对接机制，在贫困县普遍建立劳务输出站。</w:t>
      </w:r>
      <w:bookmarkStart w:id="114" w:name="_Toc7589"/>
      <w:bookmarkStart w:id="115" w:name="_Toc7458"/>
      <w:bookmarkStart w:id="116" w:name="_Toc3649"/>
      <w:r>
        <w:rPr>
          <w:rFonts w:hint="eastAsia" w:ascii="仿宋_GB2312" w:hAnsi="仿宋_GB2312" w:eastAsia="仿宋_GB2312" w:cs="仿宋_GB2312"/>
          <w:b/>
          <w:color w:val="auto"/>
          <w:szCs w:val="32"/>
        </w:rPr>
        <w:t>社会保障兜底一批，</w:t>
      </w:r>
      <w:r>
        <w:rPr>
          <w:rFonts w:hint="eastAsia" w:ascii="仿宋_GB2312" w:hAnsi="仿宋_GB2312" w:eastAsia="仿宋_GB2312" w:cs="仿宋_GB2312"/>
          <w:color w:val="auto"/>
          <w:szCs w:val="32"/>
        </w:rPr>
        <w:t>完善最低生活保障、基本养老保险、新型农村合作医疗等社会政策，为缺乏劳动能力或因病返贫、致贫的特困人群提供兜底性保障；启动健康扶贫行动，全面实施贫困地区儿童营养改善、新生儿疾病筛查等项目，实现贫困人口大病救助政策全覆盖，为陕南地区贫困县乡医疗机构定向招聘医学类本专科学生，鼓励在陕三级甲等医院（含部队）与陕南贫困县建立对口帮扶关系。</w:t>
      </w:r>
    </w:p>
    <w:p>
      <w:pPr>
        <w:spacing w:after="156" w:afterLines="50" w:line="600" w:lineRule="exact"/>
        <w:ind w:firstLine="643"/>
        <w:rPr>
          <w:rFonts w:hint="eastAsia" w:ascii="仿宋_GB2312" w:hAnsi="仿宋_GB2312" w:eastAsia="仿宋_GB2312" w:cs="仿宋_GB2312"/>
          <w:color w:val="auto"/>
          <w:szCs w:val="32"/>
        </w:rPr>
      </w:pPr>
      <w:r>
        <w:rPr>
          <w:rFonts w:hint="eastAsia"/>
          <w:b/>
          <w:bCs/>
          <w:color w:val="auto"/>
        </w:rPr>
        <w:fldChar w:fldCharType="begin"/>
      </w:r>
      <w:r>
        <w:rPr>
          <w:rFonts w:hint="eastAsia"/>
          <w:b/>
          <w:bCs/>
          <w:color w:val="auto"/>
        </w:rPr>
        <w:instrText xml:space="preserve"> HYPERLINK "" \l "_Toc32064_#_Toc32064_#_Toc32064_#_Toc32"</w:instrText>
      </w:r>
      <w:r>
        <w:rPr>
          <w:rFonts w:hint="eastAsia"/>
          <w:b/>
          <w:bCs/>
          <w:color w:val="auto"/>
        </w:rPr>
        <w:fldChar w:fldCharType="separate"/>
      </w:r>
      <w:bookmarkStart w:id="117" w:name="_Toc419723760"/>
      <w:r>
        <w:rPr>
          <w:rFonts w:hint="eastAsia"/>
          <w:b/>
          <w:bCs/>
          <w:color w:val="auto"/>
        </w:rPr>
        <w:t>健全精准扶贫工作机制</w:t>
      </w:r>
      <w:bookmarkEnd w:id="117"/>
      <w:r>
        <w:rPr>
          <w:rFonts w:hint="eastAsia"/>
          <w:b/>
          <w:bCs/>
          <w:color w:val="auto"/>
        </w:rPr>
        <w:fldChar w:fldCharType="end"/>
      </w:r>
      <w:bookmarkEnd w:id="114"/>
      <w:bookmarkEnd w:id="115"/>
      <w:bookmarkEnd w:id="116"/>
      <w:r>
        <w:rPr>
          <w:rFonts w:hint="eastAsia"/>
          <w:b/>
          <w:bCs/>
          <w:color w:val="auto"/>
        </w:rPr>
        <w:t>。</w:t>
      </w:r>
      <w:bookmarkStart w:id="118" w:name="_Toc23489"/>
      <w:bookmarkStart w:id="119" w:name="_Toc22856"/>
      <w:r>
        <w:rPr>
          <w:rFonts w:hint="eastAsia" w:ascii="仿宋_GB2312" w:hAnsi="仿宋_GB2312" w:eastAsia="仿宋_GB2312" w:cs="仿宋_GB2312"/>
          <w:color w:val="auto"/>
          <w:szCs w:val="32"/>
        </w:rPr>
        <w:t>完善贫困村、贫困户建档立卡工作，按照“动态管理、有进有出”原则，探索建立建档立卡贫困村、贫困户动态调整机制，提高建档立卡数据的科学性和可操作性。建立健全驻村帮扶机制，有计划地组织优秀干部参加驻村工作队，并优先实现驻村工作队对建档立卡贫困村的全覆盖。积极从省级和市级政府机关、企事业单位中选派优秀干部到陕南村级党组织担任“第一书记”，充分发挥基层党组织团结带领陕南群众脱贫致富的战斗堡垒作用。创新社会扶贫参与机制，以建档立卡工作成果为基础，搭建社会扶贫信息服务平台，鼓励各类企业通过投资兴业、吸纳就业、开发资源等方式参与扶贫开发。全面建立贫困县考核和约束机制，建立贫困县退出和后续扶持机制。在市级层面建立贫困县县级党政领导班子考核办法，</w:t>
      </w:r>
      <w:r>
        <w:rPr>
          <w:rFonts w:hint="eastAsia" w:eastAsia="仿宋_GB2312"/>
          <w:color w:val="auto"/>
          <w:szCs w:val="32"/>
        </w:rPr>
        <w:t>实行扶贫工作党政一把手负总责，健全</w:t>
      </w:r>
      <w:r>
        <w:rPr>
          <w:rFonts w:eastAsia="仿宋_GB2312"/>
          <w:color w:val="auto"/>
          <w:szCs w:val="32"/>
        </w:rPr>
        <w:t>“</w:t>
      </w:r>
      <w:r>
        <w:rPr>
          <w:rFonts w:hint="eastAsia" w:eastAsia="仿宋_GB2312"/>
          <w:color w:val="auto"/>
          <w:szCs w:val="32"/>
        </w:rPr>
        <w:t>市级监管、县镇落实</w:t>
      </w:r>
      <w:r>
        <w:rPr>
          <w:rFonts w:eastAsia="仿宋_GB2312"/>
          <w:color w:val="auto"/>
          <w:szCs w:val="32"/>
        </w:rPr>
        <w:t>”</w:t>
      </w:r>
      <w:r>
        <w:rPr>
          <w:rFonts w:hint="eastAsia" w:eastAsia="仿宋_GB2312"/>
          <w:color w:val="auto"/>
          <w:szCs w:val="32"/>
        </w:rPr>
        <w:t>的管理体制，实行年度脱贫攻坚报告制和督察制，市、县区、镇党委政府逐级签订精准扶贫精准脱贫目标责任书，</w:t>
      </w:r>
      <w:r>
        <w:rPr>
          <w:rFonts w:hint="eastAsia" w:ascii="仿宋_GB2312" w:hAnsi="仿宋_GB2312" w:eastAsia="仿宋_GB2312" w:cs="仿宋_GB2312"/>
          <w:color w:val="auto"/>
          <w:szCs w:val="32"/>
        </w:rPr>
        <w:t>明确党政领导班子任期内扶贫开发责任和目标，</w:t>
      </w:r>
      <w:r>
        <w:rPr>
          <w:rFonts w:hint="eastAsia" w:eastAsia="仿宋_GB2312"/>
          <w:color w:val="auto"/>
          <w:szCs w:val="32"/>
        </w:rPr>
        <w:t>明确精准脱贫时间表，</w:t>
      </w:r>
      <w:r>
        <w:rPr>
          <w:rFonts w:hint="eastAsia" w:ascii="仿宋_GB2312" w:hAnsi="仿宋_GB2312" w:eastAsia="仿宋_GB2312" w:cs="仿宋_GB2312"/>
          <w:color w:val="auto"/>
          <w:szCs w:val="32"/>
        </w:rPr>
        <w:t>推动贫困县党政领导班子切实把主要精力放到扶贫开发上来。</w:t>
      </w:r>
      <w:bookmarkEnd w:id="118"/>
      <w:bookmarkEnd w:id="119"/>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8323" w:type="dxa"/>
            <w:noWrap w:val="0"/>
            <w:vAlign w:val="top"/>
          </w:tcPr>
          <w:p>
            <w:pPr>
              <w:spacing w:before="156" w:beforeLines="50" w:after="156" w:afterLines="50" w:line="400" w:lineRule="exact"/>
              <w:ind w:firstLine="0" w:firstLineChars="0"/>
              <w:jc w:val="center"/>
              <w:rPr>
                <w:rFonts w:hint="eastAsia" w:ascii="仿宋_GB2312" w:hAnsi="仿宋" w:eastAsia="仿宋_GB2312"/>
                <w:b/>
                <w:color w:val="auto"/>
                <w:sz w:val="28"/>
                <w:szCs w:val="28"/>
              </w:rPr>
            </w:pPr>
            <w:r>
              <w:rPr>
                <w:rFonts w:hint="eastAsia" w:ascii="仿宋_GB2312" w:hAnsi="仿宋" w:eastAsia="仿宋_GB2312"/>
                <w:b/>
                <w:color w:val="auto"/>
                <w:sz w:val="28"/>
                <w:szCs w:val="28"/>
              </w:rPr>
              <w:t>专栏15  精准扶贫项目</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供水工程</w:t>
            </w:r>
            <w:r>
              <w:rPr>
                <w:rFonts w:hint="eastAsia" w:ascii="仿宋_GB2312" w:hAnsi="仿宋" w:eastAsia="仿宋_GB2312"/>
                <w:color w:val="auto"/>
                <w:sz w:val="24"/>
              </w:rPr>
              <w:t>：修建贫困村饮水工程1500个。</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电网改造：</w:t>
            </w:r>
            <w:r>
              <w:rPr>
                <w:rFonts w:hint="eastAsia" w:ascii="仿宋_GB2312" w:hAnsi="仿宋" w:eastAsia="仿宋_GB2312"/>
                <w:color w:val="auto"/>
                <w:sz w:val="24"/>
              </w:rPr>
              <w:t>实施农网改造30000km。</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农村道路</w:t>
            </w:r>
            <w:r>
              <w:rPr>
                <w:rFonts w:hint="eastAsia" w:ascii="仿宋_GB2312" w:hAnsi="仿宋" w:eastAsia="仿宋_GB2312"/>
                <w:color w:val="auto"/>
                <w:sz w:val="24"/>
              </w:rPr>
              <w:t>：新建通村道路3000km，提升改造农村公路15000km。</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危房改造：</w:t>
            </w:r>
            <w:r>
              <w:rPr>
                <w:rFonts w:hint="eastAsia" w:ascii="仿宋_GB2312" w:hAnsi="仿宋" w:eastAsia="仿宋_GB2312"/>
                <w:color w:val="auto"/>
                <w:sz w:val="24"/>
              </w:rPr>
              <w:t>实施农村危房改造15万户，每年改造3万户。</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易地扶贫搬迁：</w:t>
            </w:r>
            <w:r>
              <w:rPr>
                <w:rFonts w:hint="eastAsia" w:ascii="仿宋_GB2312" w:hAnsi="仿宋" w:eastAsia="仿宋_GB2312"/>
                <w:color w:val="auto"/>
                <w:sz w:val="24"/>
              </w:rPr>
              <w:t>完成移民搬迁35.35万户，改善贫困区人民居住条件。</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农村电子商务平台：</w:t>
            </w:r>
            <w:r>
              <w:rPr>
                <w:rFonts w:hint="eastAsia" w:ascii="仿宋_GB2312" w:hAnsi="仿宋" w:eastAsia="仿宋_GB2312"/>
                <w:color w:val="auto"/>
                <w:sz w:val="24"/>
              </w:rPr>
              <w:t>建设贫困村电子商务站点2000个。</w:t>
            </w:r>
          </w:p>
        </w:tc>
      </w:tr>
    </w:tbl>
    <w:p>
      <w:pPr>
        <w:pStyle w:val="3"/>
        <w:keepNext w:val="0"/>
        <w:keepLines w:val="0"/>
        <w:spacing w:before="156" w:beforeLines="50" w:after="156" w:afterLines="50"/>
        <w:rPr>
          <w:rFonts w:hint="eastAsia" w:ascii="黑体" w:hAnsi="黑体" w:eastAsia="黑体" w:cs="宋体"/>
          <w:b w:val="0"/>
          <w:bCs w:val="0"/>
          <w:color w:val="auto"/>
        </w:rPr>
      </w:pPr>
      <w:bookmarkStart w:id="120" w:name="_Toc20292"/>
      <w:r>
        <w:rPr>
          <w:rFonts w:hint="eastAsia" w:ascii="黑体" w:hAnsi="黑体" w:eastAsia="黑体" w:cs="宋体"/>
          <w:b w:val="0"/>
          <w:bCs w:val="0"/>
          <w:color w:val="auto"/>
        </w:rPr>
        <w:t>第二节  加快</w:t>
      </w:r>
      <w:r>
        <w:rPr>
          <w:rFonts w:hint="eastAsia" w:ascii="黑体" w:hAnsi="黑体" w:eastAsia="黑体" w:cs="宋体"/>
          <w:b w:val="0"/>
          <w:bCs w:val="0"/>
          <w:color w:val="auto"/>
          <w:lang w:eastAsia="zh-CN"/>
        </w:rPr>
        <w:t>推进</w:t>
      </w:r>
      <w:r>
        <w:rPr>
          <w:rFonts w:hint="eastAsia" w:ascii="黑体" w:hAnsi="黑体" w:eastAsia="黑体" w:cs="宋体"/>
          <w:b w:val="0"/>
          <w:bCs w:val="0"/>
          <w:color w:val="auto"/>
          <w:lang w:val="en-US" w:eastAsia="zh-CN"/>
        </w:rPr>
        <w:t>新型</w:t>
      </w:r>
      <w:r>
        <w:rPr>
          <w:rFonts w:hint="eastAsia" w:ascii="黑体" w:hAnsi="黑体" w:eastAsia="黑体" w:cs="宋体"/>
          <w:b w:val="0"/>
          <w:bCs w:val="0"/>
          <w:color w:val="auto"/>
          <w:lang w:eastAsia="zh-CN"/>
        </w:rPr>
        <w:t>城镇化</w:t>
      </w:r>
      <w:bookmarkEnd w:id="120"/>
    </w:p>
    <w:p>
      <w:pPr>
        <w:tabs>
          <w:tab w:val="left" w:pos="2340"/>
        </w:tabs>
        <w:spacing w:before="312" w:beforeLines="100" w:line="610" w:lineRule="exact"/>
        <w:ind w:firstLine="643"/>
        <w:rPr>
          <w:rFonts w:hint="eastAsia" w:ascii="仿宋_GB2312" w:hAnsi="仿宋" w:eastAsia="仿宋_GB2312"/>
          <w:b/>
          <w:bCs/>
          <w:color w:val="auto"/>
          <w:szCs w:val="32"/>
        </w:rPr>
      </w:pPr>
      <w:r>
        <w:rPr>
          <w:rFonts w:hint="eastAsia" w:ascii="仿宋_GB2312" w:hAnsi="仿宋" w:eastAsia="仿宋_GB2312"/>
          <w:b/>
          <w:bCs/>
          <w:color w:val="auto"/>
          <w:szCs w:val="32"/>
          <w:lang w:val="en-US" w:eastAsia="zh-CN"/>
        </w:rPr>
        <w:t>统筹城乡一体化</w:t>
      </w:r>
      <w:r>
        <w:rPr>
          <w:rFonts w:hint="eastAsia" w:ascii="仿宋_GB2312" w:hAnsi="仿宋" w:eastAsia="仿宋_GB2312"/>
          <w:b/>
          <w:bCs/>
          <w:color w:val="auto"/>
          <w:szCs w:val="32"/>
        </w:rPr>
        <w:t>。</w:t>
      </w:r>
      <w:r>
        <w:rPr>
          <w:rFonts w:hint="eastAsia" w:ascii="仿宋_GB2312" w:hAnsi="仿宋" w:eastAsia="仿宋_GB2312"/>
          <w:color w:val="auto"/>
          <w:szCs w:val="32"/>
        </w:rPr>
        <w:t>全面落实中省主体功能区规划</w:t>
      </w:r>
      <w:r>
        <w:rPr>
          <w:rFonts w:hint="eastAsia" w:ascii="仿宋_GB2312" w:hAnsi="仿宋" w:eastAsia="仿宋_GB2312"/>
          <w:color w:val="auto"/>
          <w:szCs w:val="32"/>
          <w:lang w:eastAsia="zh-CN"/>
        </w:rPr>
        <w:t>，</w:t>
      </w:r>
      <w:r>
        <w:rPr>
          <w:rFonts w:hint="eastAsia" w:ascii="仿宋_GB2312" w:hAnsi="仿宋" w:eastAsia="仿宋_GB2312"/>
          <w:color w:val="auto"/>
          <w:szCs w:val="32"/>
        </w:rPr>
        <w:t>科学确定城市功能，合理控制城镇规模、开发边界、开发强度和保护性空间，合理划定城市“三区四线”。</w:t>
      </w:r>
      <w:r>
        <w:rPr>
          <w:rFonts w:hint="eastAsia" w:ascii="仿宋_GB2312" w:hAnsi="仿宋" w:eastAsia="仿宋_GB2312"/>
          <w:color w:val="auto"/>
          <w:szCs w:val="32"/>
          <w:lang w:eastAsia="zh-CN"/>
        </w:rPr>
        <w:t>将生态文明理念融入城市发展全过程，构建绿色生产体系、绿色生活方式，打造绿色生态环境。</w:t>
      </w:r>
      <w:r>
        <w:rPr>
          <w:rFonts w:hint="eastAsia" w:ascii="仿宋_GB2312" w:hAnsi="仿宋" w:eastAsia="仿宋_GB2312"/>
          <w:color w:val="auto"/>
          <w:szCs w:val="32"/>
        </w:rPr>
        <w:t>以区域中心城市为核心，</w:t>
      </w:r>
      <w:r>
        <w:rPr>
          <w:rFonts w:hint="eastAsia" w:ascii="仿宋_GB2312" w:hAnsi="仿宋" w:eastAsia="仿宋_GB2312"/>
          <w:color w:val="auto"/>
          <w:szCs w:val="32"/>
          <w:lang w:val="en-US" w:eastAsia="zh-CN"/>
        </w:rPr>
        <w:t>积极探索生态环保、产业发展和新型城镇化融合的发展新模式，大力推进绿色城市、智慧城市、人文城市建设。坚持集约发展，提高土地利用率，创新城市规划编制，搞好城市设计，推进城市建筑升级。加快城乡协调发展进程，促进城镇基础设施和公共服务设施向周边乡村延伸，提高城乡基本公共服务均等化水平。统筹推进户籍制度改革，放开城镇落户条件，推进在城镇合法稳定就业和生活的常住人口有序实现市民化，到2020年，陕南地区城镇化率接近全省水平，达到57%。</w:t>
      </w:r>
    </w:p>
    <w:p>
      <w:pPr>
        <w:keepNext w:val="0"/>
        <w:keepLines w:val="0"/>
        <w:pageBreakBefore w:val="0"/>
        <w:widowControl w:val="0"/>
        <w:kinsoku/>
        <w:wordWrap/>
        <w:overflowPunct/>
        <w:topLinePunct w:val="0"/>
        <w:autoSpaceDE/>
        <w:autoSpaceDN/>
        <w:bidi w:val="0"/>
        <w:adjustRightInd/>
        <w:snapToGrid/>
        <w:spacing w:after="156" w:afterLines="50" w:line="360" w:lineRule="auto"/>
        <w:ind w:left="0" w:leftChars="0" w:right="0" w:rightChars="0" w:firstLine="640" w:firstLineChars="200"/>
        <w:jc w:val="both"/>
        <w:textAlignment w:val="auto"/>
        <w:outlineLvl w:val="9"/>
        <w:rPr>
          <w:rFonts w:hint="eastAsia" w:ascii="仿宋_GB2312" w:hAnsi="宋体" w:eastAsia="仿宋_GB2312" w:cs="仿宋_GB2312"/>
          <w:color w:val="auto"/>
          <w:szCs w:val="32"/>
        </w:rPr>
      </w:pPr>
      <w:r>
        <w:rPr>
          <w:rFonts w:hint="eastAsia" w:ascii="仿宋_GB2312" w:hAnsi="仿宋" w:eastAsia="仿宋_GB2312"/>
          <w:b/>
          <w:bCs/>
          <w:color w:val="auto"/>
          <w:szCs w:val="32"/>
          <w:lang w:val="en-US" w:eastAsia="zh-CN"/>
        </w:rPr>
        <w:t>强化</w:t>
      </w:r>
      <w:r>
        <w:rPr>
          <w:rFonts w:hint="eastAsia" w:ascii="仿宋_GB2312" w:hAnsi="仿宋" w:eastAsia="仿宋_GB2312"/>
          <w:b/>
          <w:bCs/>
          <w:color w:val="auto"/>
          <w:szCs w:val="32"/>
        </w:rPr>
        <w:t>区域中心城市</w:t>
      </w:r>
      <w:r>
        <w:rPr>
          <w:rFonts w:hint="eastAsia" w:ascii="仿宋_GB2312" w:hAnsi="仿宋" w:eastAsia="仿宋_GB2312"/>
          <w:b/>
          <w:bCs/>
          <w:color w:val="auto"/>
          <w:szCs w:val="32"/>
          <w:lang w:val="en-US" w:eastAsia="zh-CN"/>
        </w:rPr>
        <w:t>辐射带动</w:t>
      </w:r>
      <w:r>
        <w:rPr>
          <w:rFonts w:hint="eastAsia" w:ascii="仿宋_GB2312" w:hAnsi="仿宋" w:eastAsia="仿宋_GB2312"/>
          <w:b/>
          <w:bCs/>
          <w:color w:val="auto"/>
          <w:szCs w:val="32"/>
        </w:rPr>
        <w:t>。</w:t>
      </w:r>
      <w:r>
        <w:rPr>
          <w:rFonts w:hint="eastAsia" w:ascii="仿宋_GB2312" w:hAnsi="仿宋" w:eastAsia="仿宋_GB2312"/>
          <w:color w:val="auto"/>
          <w:szCs w:val="32"/>
        </w:rPr>
        <w:t>科学</w:t>
      </w:r>
      <w:r>
        <w:rPr>
          <w:rFonts w:hint="eastAsia" w:ascii="仿宋_GB2312" w:hAnsi="仿宋" w:eastAsia="仿宋_GB2312"/>
          <w:color w:val="auto"/>
          <w:szCs w:val="32"/>
          <w:lang w:eastAsia="zh-CN"/>
        </w:rPr>
        <w:t>划定中心城市开发边界</w:t>
      </w:r>
      <w:r>
        <w:rPr>
          <w:rFonts w:hint="eastAsia" w:ascii="仿宋_GB2312" w:hAnsi="仿宋" w:eastAsia="仿宋_GB2312"/>
          <w:color w:val="auto"/>
          <w:szCs w:val="32"/>
        </w:rPr>
        <w:t>，</w:t>
      </w:r>
      <w:r>
        <w:rPr>
          <w:rFonts w:hint="eastAsia" w:ascii="仿宋_GB2312" w:hAnsi="仿宋" w:eastAsia="仿宋_GB2312"/>
          <w:color w:val="auto"/>
          <w:szCs w:val="32"/>
          <w:lang w:eastAsia="zh-CN"/>
        </w:rPr>
        <w:t>推动城市发展由外延扩式张向内涵提升式转变</w:t>
      </w:r>
      <w:r>
        <w:rPr>
          <w:rFonts w:hint="eastAsia" w:ascii="仿宋_GB2312" w:hAnsi="仿宋" w:eastAsia="仿宋_GB2312"/>
          <w:color w:val="auto"/>
          <w:szCs w:val="32"/>
        </w:rPr>
        <w:t>。</w:t>
      </w:r>
      <w:r>
        <w:rPr>
          <w:rFonts w:hint="eastAsia" w:ascii="仿宋_GB2312" w:hAnsi="仿宋" w:eastAsia="仿宋_GB2312"/>
          <w:color w:val="auto"/>
          <w:szCs w:val="32"/>
          <w:lang w:eastAsia="zh-CN"/>
        </w:rPr>
        <w:t>加快中心城市产业转型升级，延伸面向周边区域的产业和服务链，</w:t>
      </w:r>
      <w:r>
        <w:rPr>
          <w:rFonts w:hint="eastAsia" w:ascii="仿宋_GB2312" w:hAnsi="仿宋" w:eastAsia="仿宋_GB2312"/>
          <w:color w:val="auto"/>
          <w:szCs w:val="32"/>
          <w:lang w:val="en-US" w:eastAsia="zh-CN"/>
        </w:rPr>
        <w:t>辐射</w:t>
      </w:r>
      <w:r>
        <w:rPr>
          <w:rFonts w:hint="eastAsia" w:ascii="仿宋_GB2312" w:hAnsi="仿宋" w:eastAsia="仿宋_GB2312"/>
          <w:color w:val="auto"/>
          <w:szCs w:val="32"/>
          <w:lang w:eastAsia="zh-CN"/>
        </w:rPr>
        <w:t>带动周边城镇</w:t>
      </w:r>
      <w:r>
        <w:rPr>
          <w:rFonts w:hint="eastAsia" w:ascii="仿宋_GB2312" w:hAnsi="仿宋" w:eastAsia="仿宋_GB2312"/>
          <w:color w:val="auto"/>
          <w:szCs w:val="32"/>
          <w:lang w:val="en-US" w:eastAsia="zh-CN"/>
        </w:rPr>
        <w:t>同步</w:t>
      </w:r>
      <w:r>
        <w:rPr>
          <w:rFonts w:hint="eastAsia" w:ascii="仿宋_GB2312" w:hAnsi="仿宋" w:eastAsia="仿宋_GB2312"/>
          <w:color w:val="auto"/>
          <w:szCs w:val="32"/>
          <w:lang w:eastAsia="zh-CN"/>
        </w:rPr>
        <w:t>发展。</w:t>
      </w:r>
      <w:r>
        <w:rPr>
          <w:rFonts w:hint="eastAsia" w:ascii="仿宋_GB2312" w:hAnsi="仿宋" w:eastAsia="仿宋_GB2312"/>
          <w:color w:val="auto"/>
          <w:szCs w:val="32"/>
          <w:lang w:val="en-US" w:eastAsia="zh-CN"/>
        </w:rPr>
        <w:t>汉中市要系统建设中心城区与沿汉江串珠式城镇带，突出“两汉三国”文化特色，人口规模达到100万。安康市要围绕“秦巴明珠”建设目标，推动中心城区-汉阴-石泉一体化发展，加快建设月河川道城镇带，人口规模达到50万。商洛市要围绕建设“山水园林、休闲宜居”城市定位，重点构筑商州—洛南—丹凤“一体两翼”环形城镇带，力争人口规模达到80万。三市要加强</w:t>
      </w:r>
      <w:r>
        <w:rPr>
          <w:rFonts w:hint="eastAsia" w:ascii="仿宋_GB2312" w:hAnsi="仿宋" w:eastAsia="仿宋_GB2312"/>
          <w:color w:val="auto"/>
          <w:szCs w:val="32"/>
        </w:rPr>
        <w:t>推</w:t>
      </w:r>
      <w:r>
        <w:rPr>
          <w:rFonts w:hint="eastAsia" w:ascii="仿宋_GB2312" w:hAnsi="仿宋" w:eastAsia="仿宋_GB2312"/>
          <w:color w:val="auto"/>
          <w:szCs w:val="32"/>
          <w:lang w:val="en-US" w:eastAsia="zh-CN"/>
        </w:rPr>
        <w:t>广“</w:t>
      </w:r>
      <w:r>
        <w:rPr>
          <w:rFonts w:hint="eastAsia" w:ascii="仿宋_GB2312" w:hAnsi="仿宋" w:eastAsia="仿宋_GB2312"/>
          <w:color w:val="auto"/>
          <w:szCs w:val="32"/>
        </w:rPr>
        <w:t>海绵城市</w:t>
      </w:r>
      <w:r>
        <w:rPr>
          <w:rFonts w:hint="eastAsia" w:ascii="仿宋_GB2312" w:hAnsi="仿宋" w:eastAsia="仿宋_GB2312"/>
          <w:color w:val="auto"/>
          <w:szCs w:val="32"/>
          <w:lang w:eastAsia="zh-CN"/>
        </w:rPr>
        <w:t>”</w:t>
      </w:r>
      <w:r>
        <w:rPr>
          <w:rFonts w:hint="eastAsia" w:ascii="仿宋_GB2312" w:hAnsi="仿宋" w:eastAsia="仿宋_GB2312"/>
          <w:color w:val="auto"/>
          <w:szCs w:val="32"/>
        </w:rPr>
        <w:t>建设，</w:t>
      </w:r>
      <w:r>
        <w:rPr>
          <w:rFonts w:hint="eastAsia" w:ascii="仿宋_GB2312" w:hAnsi="仿宋" w:eastAsia="仿宋_GB2312"/>
          <w:color w:val="auto"/>
          <w:szCs w:val="32"/>
          <w:lang w:val="en-US" w:eastAsia="zh-CN"/>
        </w:rPr>
        <w:t>统筹布局市政设施和</w:t>
      </w:r>
      <w:r>
        <w:rPr>
          <w:rFonts w:hint="eastAsia" w:ascii="仿宋_GB2312" w:hAnsi="仿宋" w:eastAsia="仿宋_GB2312"/>
          <w:color w:val="auto"/>
          <w:szCs w:val="32"/>
        </w:rPr>
        <w:t>地下综合管廊</w:t>
      </w:r>
      <w:r>
        <w:rPr>
          <w:rFonts w:hint="eastAsia" w:ascii="仿宋_GB2312" w:hAnsi="仿宋" w:eastAsia="仿宋_GB2312"/>
          <w:color w:val="auto"/>
          <w:szCs w:val="32"/>
          <w:lang w:eastAsia="zh-CN"/>
        </w:rPr>
        <w:t>，</w:t>
      </w:r>
      <w:r>
        <w:rPr>
          <w:rFonts w:hint="eastAsia" w:ascii="仿宋_GB2312" w:hAnsi="仿宋" w:eastAsia="仿宋_GB2312"/>
          <w:color w:val="auto"/>
          <w:szCs w:val="32"/>
          <w:lang w:val="en-US" w:eastAsia="zh-CN"/>
        </w:rPr>
        <w:t>提升改造</w:t>
      </w:r>
      <w:r>
        <w:rPr>
          <w:rFonts w:hint="eastAsia" w:ascii="仿宋_GB2312" w:hAnsi="仿宋" w:eastAsia="仿宋_GB2312"/>
          <w:color w:val="auto"/>
          <w:szCs w:val="32"/>
        </w:rPr>
        <w:t>城市交通</w:t>
      </w:r>
      <w:r>
        <w:rPr>
          <w:rFonts w:hint="eastAsia" w:ascii="仿宋_GB2312" w:hAnsi="仿宋" w:eastAsia="仿宋_GB2312"/>
          <w:color w:val="auto"/>
          <w:szCs w:val="32"/>
          <w:lang w:eastAsia="zh-CN"/>
        </w:rPr>
        <w:t>（</w:t>
      </w:r>
      <w:r>
        <w:rPr>
          <w:rFonts w:hint="eastAsia" w:ascii="仿宋_GB2312" w:hAnsi="仿宋" w:eastAsia="仿宋_GB2312"/>
          <w:color w:val="auto"/>
          <w:szCs w:val="32"/>
          <w:lang w:val="en-US" w:eastAsia="zh-CN"/>
        </w:rPr>
        <w:t>包括停车场、电动车充电桩</w:t>
      </w:r>
      <w:r>
        <w:rPr>
          <w:rFonts w:hint="eastAsia" w:ascii="仿宋_GB2312" w:hAnsi="仿宋" w:eastAsia="仿宋_GB2312"/>
          <w:color w:val="auto"/>
          <w:szCs w:val="32"/>
          <w:lang w:eastAsia="zh-CN"/>
        </w:rPr>
        <w:t>）</w:t>
      </w:r>
      <w:r>
        <w:rPr>
          <w:rFonts w:hint="eastAsia" w:ascii="仿宋_GB2312" w:hAnsi="仿宋" w:eastAsia="仿宋_GB2312"/>
          <w:color w:val="auto"/>
          <w:szCs w:val="32"/>
        </w:rPr>
        <w:t>、电力、给排水、供气、</w:t>
      </w:r>
      <w:r>
        <w:rPr>
          <w:rFonts w:hint="eastAsia" w:ascii="仿宋_GB2312" w:hAnsi="仿宋" w:eastAsia="仿宋_GB2312"/>
          <w:color w:val="auto"/>
          <w:szCs w:val="32"/>
          <w:lang w:val="en-US" w:eastAsia="zh-CN"/>
        </w:rPr>
        <w:t>电信、</w:t>
      </w:r>
      <w:r>
        <w:rPr>
          <w:rFonts w:hint="eastAsia" w:ascii="仿宋_GB2312" w:hAnsi="仿宋" w:eastAsia="仿宋_GB2312"/>
          <w:color w:val="auto"/>
          <w:szCs w:val="32"/>
        </w:rPr>
        <w:t>园林绿化、污水垃圾处理等市政基础设施，完善教育、卫生计生、文化等公共服务设施，</w:t>
      </w:r>
      <w:r>
        <w:rPr>
          <w:rFonts w:hint="eastAsia" w:ascii="仿宋_GB2312" w:hAnsi="仿宋" w:eastAsia="仿宋_GB2312"/>
          <w:color w:val="auto"/>
          <w:szCs w:val="32"/>
          <w:lang w:val="en-US" w:eastAsia="zh-CN"/>
        </w:rPr>
        <w:t>增强城市</w:t>
      </w:r>
      <w:r>
        <w:rPr>
          <w:rFonts w:hint="eastAsia" w:ascii="仿宋_GB2312" w:hAnsi="仿宋" w:eastAsia="仿宋_GB2312"/>
          <w:color w:val="auto"/>
          <w:szCs w:val="32"/>
        </w:rPr>
        <w:t>综合服务功能</w:t>
      </w:r>
      <w:r>
        <w:rPr>
          <w:rFonts w:hint="eastAsia" w:ascii="仿宋_GB2312" w:hAnsi="仿宋" w:eastAsia="仿宋_GB2312"/>
          <w:color w:val="auto"/>
          <w:szCs w:val="32"/>
          <w:lang w:eastAsia="zh-CN"/>
        </w:rPr>
        <w:t>，</w:t>
      </w:r>
      <w:r>
        <w:rPr>
          <w:rFonts w:hint="eastAsia" w:ascii="仿宋_GB2312" w:hAnsi="仿宋" w:eastAsia="仿宋_GB2312"/>
          <w:color w:val="auto"/>
          <w:szCs w:val="32"/>
          <w:lang w:val="en-US" w:eastAsia="zh-CN"/>
        </w:rPr>
        <w:t>打造陕南生态宜居城市群</w:t>
      </w:r>
      <w:r>
        <w:rPr>
          <w:rFonts w:hint="eastAsia" w:ascii="仿宋_GB2312" w:hAnsi="仿宋" w:eastAsia="仿宋_GB2312"/>
          <w:color w:val="auto"/>
          <w:szCs w:val="32"/>
          <w:lang w:eastAsia="zh-CN"/>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jc w:val="center"/>
        </w:trPr>
        <w:tc>
          <w:tcPr>
            <w:tcW w:w="8461" w:type="dxa"/>
            <w:noWrap w:val="0"/>
            <w:vAlign w:val="top"/>
          </w:tcPr>
          <w:p>
            <w:pPr>
              <w:spacing w:before="156" w:beforeLines="50" w:after="156" w:afterLines="50" w:line="400" w:lineRule="exact"/>
              <w:ind w:left="0" w:leftChars="0" w:firstLine="0" w:firstLineChars="0"/>
              <w:jc w:val="center"/>
              <w:rPr>
                <w:rFonts w:hint="eastAsia" w:ascii="仿宋_GB2312" w:hAnsi="仿宋" w:eastAsia="仿宋_GB2312"/>
                <w:b/>
                <w:bCs/>
                <w:color w:val="auto"/>
                <w:sz w:val="28"/>
                <w:szCs w:val="28"/>
              </w:rPr>
            </w:pPr>
            <w:r>
              <w:rPr>
                <w:rFonts w:hint="eastAsia" w:ascii="仿宋_GB2312" w:hAnsi="仿宋" w:eastAsia="仿宋_GB2312"/>
                <w:b/>
                <w:color w:val="auto"/>
                <w:sz w:val="28"/>
                <w:szCs w:val="28"/>
              </w:rPr>
              <w:t>专栏16  区域中心城市功能</w:t>
            </w:r>
            <w:r>
              <w:rPr>
                <w:rFonts w:hint="eastAsia" w:ascii="仿宋_GB2312" w:hAnsi="仿宋" w:eastAsia="仿宋_GB2312"/>
                <w:b/>
                <w:color w:val="auto"/>
                <w:sz w:val="28"/>
                <w:szCs w:val="28"/>
                <w:lang w:val="en-US" w:eastAsia="zh-CN"/>
              </w:rPr>
              <w:t>定位</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汉中市</w:t>
            </w:r>
            <w:r>
              <w:rPr>
                <w:rFonts w:hint="eastAsia" w:ascii="仿宋_GB2312" w:hAnsi="仿宋" w:eastAsia="仿宋_GB2312"/>
                <w:color w:val="auto"/>
                <w:sz w:val="24"/>
              </w:rPr>
              <w:t>：丝绸之路经济带的重要源点城市、国家生态文明示范城市、中国汉文化传播示范基地、国内一流绿色有机农产品基地、中国西部高端装备制造业循环示范基地、陕甘川渝重要的物流中心。</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安康市</w:t>
            </w:r>
            <w:r>
              <w:rPr>
                <w:rFonts w:hint="eastAsia" w:ascii="仿宋_GB2312" w:hAnsi="仿宋" w:eastAsia="仿宋_GB2312"/>
                <w:color w:val="auto"/>
                <w:sz w:val="24"/>
              </w:rPr>
              <w:t>：陕川渝鄂结合部区域性中心城市，国家主体功能区建设试点示范市，秦巴腹地综合交通枢纽、商贸物流服务中心，国家富硒产业基地，新型材料、生物资源加工基地。</w:t>
            </w:r>
          </w:p>
          <w:p>
            <w:pPr>
              <w:spacing w:line="400" w:lineRule="exact"/>
              <w:ind w:firstLine="482"/>
              <w:rPr>
                <w:rFonts w:hint="eastAsia" w:ascii="仿宋_GB2312" w:hAnsi="仿宋" w:eastAsia="仿宋_GB2312" w:cs="仿宋"/>
                <w:b/>
                <w:bCs/>
                <w:color w:val="auto"/>
                <w:sz w:val="24"/>
              </w:rPr>
            </w:pPr>
            <w:r>
              <w:rPr>
                <w:rFonts w:hint="eastAsia" w:ascii="仿宋_GB2312" w:hAnsi="仿宋" w:eastAsia="仿宋_GB2312"/>
                <w:b/>
                <w:bCs/>
                <w:color w:val="auto"/>
                <w:sz w:val="24"/>
              </w:rPr>
              <w:t>商洛市</w:t>
            </w:r>
            <w:r>
              <w:rPr>
                <w:rFonts w:hint="eastAsia" w:ascii="仿宋_GB2312" w:hAnsi="仿宋" w:eastAsia="仿宋_GB2312"/>
                <w:color w:val="auto"/>
                <w:sz w:val="24"/>
              </w:rPr>
              <w:t>：全国循环经济示范城市、全国生态文明工程试点城市、东中部地区产业转移重要接续地、全国现代材料重要基地和尾矿综合利用示范基地</w:t>
            </w:r>
            <w:r>
              <w:rPr>
                <w:rFonts w:hint="eastAsia" w:ascii="仿宋_GB2312" w:hAnsi="仿宋" w:eastAsia="仿宋_GB2312"/>
                <w:color w:val="auto"/>
                <w:sz w:val="24"/>
                <w:lang w:eastAsia="zh-CN"/>
              </w:rPr>
              <w:t>、</w:t>
            </w:r>
            <w:r>
              <w:rPr>
                <w:rFonts w:hint="eastAsia" w:ascii="仿宋_GB2312" w:hAnsi="仿宋" w:eastAsia="仿宋_GB2312"/>
                <w:color w:val="auto"/>
                <w:sz w:val="24"/>
              </w:rPr>
              <w:t>大秦岭生态旅游核心区</w:t>
            </w:r>
            <w:r>
              <w:rPr>
                <w:rFonts w:hint="eastAsia" w:ascii="仿宋_GB2312" w:hAnsi="仿宋" w:eastAsia="仿宋_GB2312"/>
                <w:color w:val="auto"/>
                <w:sz w:val="24"/>
                <w:lang w:eastAsia="zh-CN"/>
              </w:rPr>
              <w:t>、</w:t>
            </w:r>
            <w:r>
              <w:rPr>
                <w:rFonts w:hint="eastAsia" w:ascii="仿宋_GB2312" w:hAnsi="仿宋" w:eastAsia="仿宋_GB2312"/>
                <w:color w:val="auto"/>
                <w:sz w:val="24"/>
              </w:rPr>
              <w:t>西部现代中药基地和优质绿色食品基地。</w:t>
            </w:r>
          </w:p>
        </w:tc>
      </w:tr>
    </w:tbl>
    <w:p>
      <w:pPr>
        <w:keepNext w:val="0"/>
        <w:keepLines w:val="0"/>
        <w:pageBreakBefore w:val="0"/>
        <w:widowControl w:val="0"/>
        <w:tabs>
          <w:tab w:val="left" w:pos="2340"/>
        </w:tabs>
        <w:kinsoku/>
        <w:wordWrap/>
        <w:overflowPunct/>
        <w:topLinePunct w:val="0"/>
        <w:autoSpaceDE/>
        <w:autoSpaceDN/>
        <w:bidi w:val="0"/>
        <w:adjustRightInd/>
        <w:snapToGrid/>
        <w:spacing w:before="312" w:beforeLines="100" w:after="156" w:afterLines="50" w:line="610" w:lineRule="exact"/>
        <w:ind w:left="0" w:leftChars="0" w:right="0" w:rightChars="0" w:firstLine="640" w:firstLineChars="200"/>
        <w:jc w:val="both"/>
        <w:textAlignment w:val="auto"/>
        <w:outlineLvl w:val="9"/>
        <w:rPr>
          <w:rFonts w:hint="eastAsia" w:ascii="仿宋_GB2312" w:hAnsi="仿宋" w:eastAsia="仿宋_GB2312"/>
          <w:b/>
          <w:bCs/>
          <w:color w:val="auto"/>
          <w:szCs w:val="32"/>
        </w:rPr>
      </w:pPr>
      <w:r>
        <w:rPr>
          <w:rFonts w:hint="eastAsia" w:ascii="仿宋_GB2312" w:hAnsi="仿宋" w:eastAsia="仿宋_GB2312"/>
          <w:b/>
          <w:bCs/>
          <w:color w:val="auto"/>
          <w:szCs w:val="32"/>
          <w:lang w:val="en-US" w:eastAsia="zh-CN"/>
        </w:rPr>
        <w:t>提升</w:t>
      </w:r>
      <w:r>
        <w:rPr>
          <w:rFonts w:hint="eastAsia" w:ascii="仿宋_GB2312" w:hAnsi="仿宋" w:eastAsia="仿宋_GB2312"/>
          <w:b/>
          <w:bCs/>
          <w:color w:val="auto"/>
          <w:szCs w:val="32"/>
        </w:rPr>
        <w:t>县</w:t>
      </w:r>
      <w:r>
        <w:rPr>
          <w:rFonts w:hint="eastAsia" w:ascii="仿宋_GB2312" w:hAnsi="仿宋" w:eastAsia="仿宋_GB2312"/>
          <w:b/>
          <w:bCs/>
          <w:color w:val="auto"/>
          <w:szCs w:val="32"/>
          <w:lang w:val="en-US" w:eastAsia="zh-CN"/>
        </w:rPr>
        <w:t>域中小城市承载力</w:t>
      </w:r>
      <w:r>
        <w:rPr>
          <w:rFonts w:hint="eastAsia" w:ascii="仿宋_GB2312" w:hAnsi="仿宋" w:eastAsia="仿宋_GB2312"/>
          <w:b/>
          <w:bCs/>
          <w:color w:val="auto"/>
          <w:szCs w:val="32"/>
        </w:rPr>
        <w:t>。</w:t>
      </w:r>
      <w:r>
        <w:rPr>
          <w:rFonts w:hint="eastAsia" w:ascii="仿宋_GB2312" w:hAnsi="宋体" w:eastAsia="仿宋_GB2312" w:cs="仿宋_GB2312"/>
          <w:color w:val="auto"/>
          <w:szCs w:val="32"/>
        </w:rPr>
        <w:t>以县城为节点，</w:t>
      </w:r>
      <w:r>
        <w:rPr>
          <w:rFonts w:hint="eastAsia" w:ascii="仿宋_GB2312" w:hAnsi="宋体" w:eastAsia="仿宋_GB2312" w:cs="仿宋_GB2312"/>
          <w:color w:val="auto"/>
          <w:szCs w:val="32"/>
          <w:lang w:val="en-US" w:eastAsia="zh-CN"/>
        </w:rPr>
        <w:t>充分发挥近郊县、经济强县、资源富集县比较优势，</w:t>
      </w:r>
      <w:r>
        <w:rPr>
          <w:rFonts w:hint="eastAsia" w:ascii="仿宋_GB2312" w:hAnsi="宋体" w:eastAsia="仿宋_GB2312" w:cs="仿宋_GB2312"/>
          <w:color w:val="auto"/>
          <w:szCs w:val="32"/>
          <w:lang w:eastAsia="zh-CN"/>
        </w:rPr>
        <w:t>有序引导人口、</w:t>
      </w:r>
      <w:r>
        <w:rPr>
          <w:rFonts w:hint="eastAsia" w:ascii="仿宋_GB2312" w:hAnsi="宋体" w:eastAsia="仿宋_GB2312" w:cs="仿宋_GB2312"/>
          <w:color w:val="auto"/>
          <w:szCs w:val="32"/>
        </w:rPr>
        <w:t>产业</w:t>
      </w:r>
      <w:r>
        <w:rPr>
          <w:rFonts w:hint="eastAsia" w:ascii="仿宋_GB2312" w:hAnsi="宋体" w:eastAsia="仿宋_GB2312" w:cs="仿宋_GB2312"/>
          <w:color w:val="auto"/>
          <w:szCs w:val="32"/>
          <w:lang w:eastAsia="zh-CN"/>
        </w:rPr>
        <w:t>及各类要素</w:t>
      </w:r>
      <w:r>
        <w:rPr>
          <w:rFonts w:hint="eastAsia" w:ascii="仿宋_GB2312" w:hAnsi="宋体" w:eastAsia="仿宋_GB2312" w:cs="仿宋_GB2312"/>
          <w:color w:val="auto"/>
          <w:szCs w:val="32"/>
          <w:lang w:val="en-US" w:eastAsia="zh-CN"/>
        </w:rPr>
        <w:t>向县城</w:t>
      </w:r>
      <w:r>
        <w:rPr>
          <w:rFonts w:hint="eastAsia" w:ascii="仿宋_GB2312" w:hAnsi="宋体" w:eastAsia="仿宋_GB2312" w:cs="仿宋_GB2312"/>
          <w:color w:val="auto"/>
          <w:szCs w:val="32"/>
        </w:rPr>
        <w:t>集聚，形成各具特色、功能配套的一批县域中小城市</w:t>
      </w:r>
      <w:r>
        <w:rPr>
          <w:rFonts w:hint="eastAsia" w:ascii="仿宋_GB2312" w:hAnsi="宋体" w:eastAsia="仿宋_GB2312" w:cs="仿宋_GB2312"/>
          <w:color w:val="auto"/>
          <w:szCs w:val="32"/>
          <w:lang w:eastAsia="zh-CN"/>
        </w:rPr>
        <w:t>。</w:t>
      </w:r>
      <w:r>
        <w:rPr>
          <w:rFonts w:hint="eastAsia" w:ascii="仿宋_GB2312" w:hAnsi="宋体" w:eastAsia="仿宋_GB2312" w:cs="仿宋_GB2312"/>
          <w:color w:val="auto"/>
          <w:szCs w:val="32"/>
        </w:rPr>
        <w:t>按照控制数量、节约用地、体现特色、提高质量的要求，完善基础设施和公共服务设施，提升</w:t>
      </w:r>
      <w:r>
        <w:rPr>
          <w:rFonts w:hint="eastAsia" w:ascii="仿宋_GB2312" w:hAnsi="宋体" w:eastAsia="仿宋_GB2312" w:cs="仿宋_GB2312"/>
          <w:color w:val="auto"/>
          <w:szCs w:val="32"/>
          <w:lang w:eastAsia="zh-CN"/>
        </w:rPr>
        <w:t>县城吸纳农业转移人口的能力</w:t>
      </w:r>
      <w:r>
        <w:rPr>
          <w:rFonts w:hint="eastAsia" w:ascii="仿宋_GB2312" w:hAnsi="宋体" w:eastAsia="仿宋_GB2312" w:cs="仿宋_GB2312"/>
          <w:color w:val="auto"/>
          <w:szCs w:val="32"/>
          <w:highlight w:val="none"/>
        </w:rPr>
        <w:t>。</w:t>
      </w:r>
      <w:r>
        <w:rPr>
          <w:rFonts w:hint="eastAsia" w:ascii="仿宋_GB2312" w:hAnsi="仿宋" w:eastAsia="仿宋_GB2312"/>
          <w:color w:val="auto"/>
          <w:szCs w:val="32"/>
          <w:lang w:val="en-US" w:eastAsia="zh-CN"/>
        </w:rPr>
        <w:t>优化城镇化发展格局，依托十天高速、阳安铁路，加强汉江两岸中心城市、县城和重点镇建设，打造交通便捷、产城融合、宜居宜业、生态秀美的串珠式城镇带。推进重点板块突破发展，以西乡为核心，联合石泉、汉阴等，创新体制机制，优化人口、产业、交通、公共设施布局，打造全省新增长极。</w:t>
      </w:r>
      <w:r>
        <w:rPr>
          <w:rFonts w:hint="eastAsia" w:ascii="仿宋_GB2312" w:eastAsia="仿宋_GB2312"/>
          <w:color w:val="auto"/>
          <w:sz w:val="32"/>
          <w:szCs w:val="32"/>
          <w:highlight w:val="none"/>
          <w:lang w:eastAsia="zh-CN"/>
        </w:rPr>
        <w:t>积极推进各类棚户区、城中村、老旧小区改造，改善居民居住条件，提升县域城市整体面貌</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支持对</w:t>
      </w:r>
      <w:r>
        <w:rPr>
          <w:rFonts w:eastAsia="仿宋_GB2312"/>
          <w:color w:val="auto"/>
          <w:sz w:val="32"/>
          <w:szCs w:val="32"/>
        </w:rPr>
        <w:t>具备行政区划调整条件的县有序改市</w:t>
      </w:r>
      <w:r>
        <w:rPr>
          <w:rFonts w:hint="eastAsia" w:eastAsia="仿宋_GB2312"/>
          <w:color w:val="auto"/>
          <w:sz w:val="32"/>
          <w:szCs w:val="32"/>
        </w:rPr>
        <w:t>、撤县</w:t>
      </w:r>
      <w:r>
        <w:rPr>
          <w:rFonts w:eastAsia="仿宋_GB2312"/>
          <w:color w:val="auto"/>
          <w:sz w:val="32"/>
          <w:szCs w:val="32"/>
        </w:rPr>
        <w:t>设区</w:t>
      </w:r>
      <w:r>
        <w:rPr>
          <w:rFonts w:hint="eastAsia" w:ascii="仿宋_GB2312" w:eastAsia="仿宋_GB2312"/>
          <w:color w:val="auto"/>
          <w:sz w:val="32"/>
          <w:szCs w:val="32"/>
          <w:highlight w:val="none"/>
          <w:lang w:eastAsia="zh-CN"/>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noWrap w:val="0"/>
            <w:vAlign w:val="top"/>
          </w:tcPr>
          <w:p>
            <w:pPr>
              <w:spacing w:before="156" w:beforeLines="50" w:after="156" w:afterLines="50" w:line="400" w:lineRule="exact"/>
              <w:ind w:left="0" w:leftChars="0" w:firstLine="0" w:firstLineChars="0"/>
              <w:jc w:val="center"/>
              <w:rPr>
                <w:rFonts w:hint="eastAsia" w:ascii="仿宋_GB2312" w:hAnsi="仿宋" w:eastAsia="仿宋_GB2312"/>
                <w:b/>
                <w:bCs/>
                <w:color w:val="auto"/>
                <w:sz w:val="28"/>
                <w:szCs w:val="28"/>
              </w:rPr>
            </w:pPr>
            <w:r>
              <w:rPr>
                <w:rFonts w:hint="eastAsia" w:ascii="仿宋_GB2312" w:hAnsi="仿宋" w:eastAsia="仿宋_GB2312"/>
                <w:b/>
                <w:color w:val="auto"/>
                <w:sz w:val="28"/>
                <w:szCs w:val="28"/>
              </w:rPr>
              <w:t>专栏1</w:t>
            </w:r>
            <w:r>
              <w:rPr>
                <w:rFonts w:hint="eastAsia" w:ascii="仿宋_GB2312" w:hAnsi="仿宋" w:eastAsia="仿宋_GB2312"/>
                <w:b/>
                <w:color w:val="auto"/>
                <w:sz w:val="28"/>
                <w:szCs w:val="28"/>
                <w:lang w:val="en-US" w:eastAsia="zh-CN"/>
              </w:rPr>
              <w:t>7</w:t>
            </w:r>
            <w:r>
              <w:rPr>
                <w:rFonts w:hint="eastAsia" w:ascii="仿宋_GB2312" w:hAnsi="仿宋" w:eastAsia="仿宋_GB2312"/>
                <w:b/>
                <w:color w:val="auto"/>
                <w:sz w:val="28"/>
                <w:szCs w:val="28"/>
              </w:rPr>
              <w:t xml:space="preserve">  </w:t>
            </w:r>
            <w:r>
              <w:rPr>
                <w:rFonts w:hint="eastAsia" w:ascii="仿宋_GB2312" w:hAnsi="仿宋" w:eastAsia="仿宋_GB2312"/>
                <w:b/>
                <w:color w:val="auto"/>
                <w:sz w:val="28"/>
                <w:szCs w:val="28"/>
                <w:lang w:eastAsia="zh-CN"/>
              </w:rPr>
              <w:t>县城发展规模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 w:eastAsia="仿宋_GB2312"/>
                <w:b/>
                <w:bCs/>
                <w:color w:val="auto"/>
                <w:sz w:val="24"/>
                <w:lang w:val="en-US" w:eastAsia="zh-CN"/>
              </w:rPr>
              <w:t>20万人以上（2个）：</w:t>
            </w:r>
            <w:r>
              <w:rPr>
                <w:rFonts w:hint="eastAsia" w:ascii="仿宋_GB2312" w:hAnsi="仿宋_GB2312" w:eastAsia="仿宋_GB2312" w:cs="仿宋_GB2312"/>
                <w:color w:val="auto"/>
                <w:sz w:val="24"/>
                <w:szCs w:val="24"/>
              </w:rPr>
              <w:t>城固、勉县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 w:eastAsia="仿宋_GB2312"/>
                <w:b/>
                <w:bCs/>
                <w:color w:val="auto"/>
                <w:sz w:val="24"/>
                <w:lang w:val="en-US" w:eastAsia="zh-CN"/>
              </w:rPr>
              <w:t>10万人至20万人（9个）：</w:t>
            </w:r>
            <w:r>
              <w:rPr>
                <w:rFonts w:hint="eastAsia" w:ascii="仿宋_GB2312" w:hAnsi="仿宋_GB2312" w:eastAsia="仿宋_GB2312" w:cs="仿宋_GB2312"/>
                <w:color w:val="auto"/>
                <w:sz w:val="24"/>
                <w:szCs w:val="24"/>
              </w:rPr>
              <w:t>南郑、略阳、洋县、西乡、汉阴、石泉、旬阳、洛南、丹凤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rPr>
            </w:pPr>
            <w:r>
              <w:rPr>
                <w:rFonts w:hint="eastAsia" w:ascii="仿宋_GB2312" w:hAnsi="仿宋" w:eastAsia="仿宋_GB2312"/>
                <w:b/>
                <w:bCs/>
                <w:color w:val="auto"/>
                <w:sz w:val="24"/>
                <w:lang w:val="en-US" w:eastAsia="zh-CN"/>
              </w:rPr>
              <w:t>5万人至10万人（9个）：</w:t>
            </w:r>
            <w:r>
              <w:rPr>
                <w:rFonts w:hint="eastAsia" w:ascii="仿宋_GB2312" w:hAnsi="仿宋_GB2312" w:eastAsia="仿宋_GB2312" w:cs="仿宋_GB2312"/>
                <w:color w:val="auto"/>
                <w:sz w:val="24"/>
                <w:szCs w:val="24"/>
              </w:rPr>
              <w:t>镇巴、宁强、紫阳、平利、岚皋、商南、柞水、镇安、山阳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 w:eastAsia="仿宋_GB2312"/>
                <w:b/>
                <w:bCs/>
                <w:color w:val="auto"/>
                <w:sz w:val="24"/>
                <w:lang w:val="en-US" w:eastAsia="zh-CN"/>
              </w:rPr>
              <w:t>5万人以下（5个）：</w:t>
            </w:r>
            <w:r>
              <w:rPr>
                <w:rFonts w:hint="eastAsia" w:ascii="仿宋_GB2312" w:hAnsi="仿宋_GB2312" w:eastAsia="仿宋_GB2312" w:cs="仿宋_GB2312"/>
                <w:color w:val="auto"/>
                <w:sz w:val="24"/>
                <w:szCs w:val="24"/>
              </w:rPr>
              <w:t>留坝、佛坪、白河、宁陕、镇坪</w:t>
            </w:r>
          </w:p>
        </w:tc>
      </w:tr>
    </w:tbl>
    <w:p>
      <w:pPr>
        <w:keepNext w:val="0"/>
        <w:keepLines w:val="0"/>
        <w:pageBreakBefore w:val="0"/>
        <w:widowControl w:val="0"/>
        <w:kinsoku/>
        <w:wordWrap/>
        <w:overflowPunct/>
        <w:topLinePunct w:val="0"/>
        <w:autoSpaceDE/>
        <w:autoSpaceDN/>
        <w:bidi w:val="0"/>
        <w:adjustRightInd/>
        <w:snapToGrid/>
        <w:spacing w:before="312" w:beforeLines="100" w:line="600" w:lineRule="exact"/>
        <w:ind w:left="0" w:leftChars="0" w:right="0" w:rightChars="0" w:firstLine="640" w:firstLineChars="200"/>
        <w:jc w:val="both"/>
        <w:textAlignment w:val="auto"/>
        <w:outlineLvl w:val="9"/>
        <w:rPr>
          <w:rFonts w:hint="eastAsia" w:ascii="仿宋_GB2312" w:hAnsi="宋体" w:eastAsia="仿宋_GB2312" w:cs="仿宋_GB2312"/>
          <w:color w:val="auto"/>
          <w:szCs w:val="32"/>
        </w:rPr>
      </w:pPr>
      <w:r>
        <w:rPr>
          <w:rFonts w:hint="eastAsia" w:eastAsia="仿宋_GB2312"/>
          <w:b/>
          <w:bCs/>
          <w:color w:val="auto"/>
          <w:sz w:val="32"/>
          <w:szCs w:val="32"/>
          <w:lang w:eastAsia="zh-CN"/>
        </w:rPr>
        <w:t>突出</w:t>
      </w:r>
      <w:r>
        <w:rPr>
          <w:rFonts w:hint="eastAsia" w:eastAsia="仿宋_GB2312"/>
          <w:b/>
          <w:bCs/>
          <w:color w:val="auto"/>
          <w:sz w:val="32"/>
          <w:szCs w:val="32"/>
          <w:lang w:val="en-US" w:eastAsia="zh-CN"/>
        </w:rPr>
        <w:t>小城</w:t>
      </w:r>
      <w:r>
        <w:rPr>
          <w:rFonts w:hint="eastAsia" w:eastAsia="仿宋_GB2312"/>
          <w:b/>
          <w:bCs/>
          <w:color w:val="auto"/>
          <w:sz w:val="32"/>
          <w:szCs w:val="32"/>
          <w:lang w:eastAsia="zh-CN"/>
        </w:rPr>
        <w:t>镇特色化</w:t>
      </w:r>
      <w:r>
        <w:rPr>
          <w:rFonts w:hint="eastAsia" w:eastAsia="仿宋_GB2312"/>
          <w:b/>
          <w:bCs/>
          <w:color w:val="auto"/>
          <w:sz w:val="32"/>
          <w:szCs w:val="32"/>
          <w:lang w:val="en-US" w:eastAsia="zh-CN"/>
        </w:rPr>
        <w:t>建设</w:t>
      </w:r>
      <w:r>
        <w:rPr>
          <w:rFonts w:hint="eastAsia" w:eastAsia="仿宋_GB2312"/>
          <w:b/>
          <w:bCs/>
          <w:color w:val="auto"/>
          <w:sz w:val="32"/>
          <w:szCs w:val="32"/>
          <w:lang w:eastAsia="zh-CN"/>
        </w:rPr>
        <w:t>。</w:t>
      </w:r>
      <w:r>
        <w:rPr>
          <w:rFonts w:hint="eastAsia" w:eastAsia="仿宋_GB2312"/>
          <w:b w:val="0"/>
          <w:bCs w:val="0"/>
          <w:color w:val="auto"/>
          <w:sz w:val="32"/>
          <w:szCs w:val="32"/>
          <w:lang w:eastAsia="zh-CN"/>
        </w:rPr>
        <w:t>以建设农民幸福家园和城市社区为目标，稳步推进</w:t>
      </w:r>
      <w:r>
        <w:rPr>
          <w:rFonts w:hint="default" w:ascii="Times New Roman" w:hAnsi="Times New Roman" w:eastAsia="仿宋_GB2312" w:cs="Times New Roman"/>
          <w:b w:val="0"/>
          <w:bCs w:val="0"/>
          <w:color w:val="auto"/>
          <w:sz w:val="32"/>
          <w:szCs w:val="32"/>
          <w:lang w:val="en-US" w:eastAsia="zh-CN"/>
        </w:rPr>
        <w:t>4</w:t>
      </w:r>
      <w:r>
        <w:rPr>
          <w:rFonts w:hint="eastAsia" w:eastAsia="仿宋_GB2312"/>
          <w:b w:val="0"/>
          <w:bCs w:val="0"/>
          <w:color w:val="auto"/>
          <w:sz w:val="32"/>
          <w:szCs w:val="32"/>
          <w:lang w:val="en-US" w:eastAsia="zh-CN"/>
        </w:rPr>
        <w:t>个</w:t>
      </w:r>
      <w:r>
        <w:rPr>
          <w:rFonts w:hint="eastAsia" w:eastAsia="仿宋_GB2312"/>
          <w:b w:val="0"/>
          <w:bCs w:val="0"/>
          <w:color w:val="auto"/>
          <w:sz w:val="32"/>
          <w:szCs w:val="32"/>
        </w:rPr>
        <w:t>重点示</w:t>
      </w:r>
      <w:r>
        <w:rPr>
          <w:rFonts w:hint="eastAsia" w:eastAsia="仿宋_GB2312"/>
          <w:color w:val="auto"/>
          <w:sz w:val="32"/>
          <w:szCs w:val="32"/>
        </w:rPr>
        <w:t>范镇</w:t>
      </w:r>
      <w:r>
        <w:rPr>
          <w:rFonts w:hint="eastAsia" w:eastAsia="仿宋_GB2312"/>
          <w:color w:val="auto"/>
          <w:sz w:val="32"/>
          <w:szCs w:val="32"/>
          <w:lang w:eastAsia="zh-CN"/>
        </w:rPr>
        <w:t>建设，</w:t>
      </w:r>
      <w:r>
        <w:rPr>
          <w:rFonts w:eastAsia="仿宋_GB2312"/>
          <w:color w:val="auto"/>
          <w:sz w:val="32"/>
          <w:szCs w:val="32"/>
        </w:rPr>
        <w:t>建设县域副中心</w:t>
      </w:r>
      <w:r>
        <w:rPr>
          <w:rFonts w:hint="eastAsia" w:eastAsia="仿宋_GB2312"/>
          <w:color w:val="auto"/>
          <w:sz w:val="32"/>
          <w:szCs w:val="32"/>
          <w:lang w:eastAsia="zh-CN"/>
        </w:rPr>
        <w:t>，吸引更多人口定居。</w:t>
      </w:r>
      <w:r>
        <w:rPr>
          <w:rFonts w:hint="eastAsia" w:eastAsia="仿宋_GB2312"/>
          <w:color w:val="auto"/>
          <w:sz w:val="32"/>
          <w:szCs w:val="32"/>
          <w:lang w:val="en-US" w:eastAsia="zh-CN"/>
        </w:rPr>
        <w:t>加快</w:t>
      </w:r>
      <w:r>
        <w:rPr>
          <w:rFonts w:hint="eastAsia" w:ascii="Times New Roman" w:hAnsi="Times New Roman" w:eastAsia="仿宋_GB2312" w:cs="Times New Roman"/>
          <w:color w:val="auto"/>
          <w:sz w:val="32"/>
          <w:szCs w:val="32"/>
          <w:lang w:val="en-US" w:eastAsia="zh-CN"/>
        </w:rPr>
        <w:t>12个文</w:t>
      </w:r>
      <w:r>
        <w:rPr>
          <w:rFonts w:hint="eastAsia" w:eastAsia="仿宋_GB2312"/>
          <w:color w:val="auto"/>
          <w:sz w:val="32"/>
          <w:szCs w:val="32"/>
          <w:lang w:val="en-US" w:eastAsia="zh-CN"/>
        </w:rPr>
        <w:t>化旅游名镇</w:t>
      </w:r>
      <w:r>
        <w:rPr>
          <w:rFonts w:hint="eastAsia" w:eastAsia="仿宋_GB2312"/>
          <w:color w:val="auto"/>
          <w:sz w:val="32"/>
          <w:szCs w:val="32"/>
          <w:lang w:eastAsia="zh-CN"/>
        </w:rPr>
        <w:t>建设</w:t>
      </w:r>
      <w:r>
        <w:rPr>
          <w:rFonts w:hint="eastAsia" w:eastAsia="仿宋_GB2312"/>
          <w:color w:val="auto"/>
          <w:sz w:val="32"/>
          <w:szCs w:val="32"/>
        </w:rPr>
        <w:t>，</w:t>
      </w:r>
      <w:r>
        <w:rPr>
          <w:rFonts w:hint="eastAsia" w:eastAsia="仿宋_GB2312"/>
          <w:color w:val="auto"/>
          <w:sz w:val="32"/>
          <w:szCs w:val="32"/>
          <w:lang w:val="en-US" w:eastAsia="zh-CN"/>
        </w:rPr>
        <w:t>加强历史文化和自然遗产保护，</w:t>
      </w:r>
      <w:r>
        <w:rPr>
          <w:rFonts w:hint="eastAsia" w:eastAsia="仿宋_GB2312"/>
          <w:color w:val="auto"/>
          <w:sz w:val="32"/>
          <w:szCs w:val="32"/>
          <w:lang w:eastAsia="zh-CN"/>
        </w:rPr>
        <w:t>保持古风古韵，打造特色鲜明、宜居宜游的特色小镇。</w:t>
      </w:r>
      <w:r>
        <w:rPr>
          <w:rFonts w:eastAsia="仿宋_GB2312"/>
          <w:color w:val="auto"/>
          <w:sz w:val="32"/>
          <w:szCs w:val="32"/>
        </w:rPr>
        <w:t>积极引导和促进人口、产业、公共资源等要素向特色集镇集聚</w:t>
      </w:r>
      <w:r>
        <w:rPr>
          <w:rFonts w:hint="eastAsia" w:eastAsia="仿宋_GB2312"/>
          <w:color w:val="auto"/>
          <w:sz w:val="32"/>
          <w:szCs w:val="32"/>
          <w:lang w:eastAsia="zh-CN"/>
        </w:rPr>
        <w:t>，</w:t>
      </w:r>
      <w:r>
        <w:rPr>
          <w:rFonts w:hint="eastAsia" w:eastAsia="仿宋_GB2312"/>
          <w:color w:val="auto"/>
          <w:sz w:val="32"/>
          <w:szCs w:val="32"/>
        </w:rPr>
        <w:t>提升</w:t>
      </w:r>
      <w:r>
        <w:rPr>
          <w:rFonts w:hint="eastAsia" w:eastAsia="仿宋_GB2312"/>
          <w:color w:val="auto"/>
          <w:sz w:val="32"/>
          <w:szCs w:val="32"/>
          <w:lang w:eastAsia="zh-CN"/>
        </w:rPr>
        <w:t>集</w:t>
      </w:r>
      <w:r>
        <w:rPr>
          <w:rFonts w:hint="eastAsia" w:eastAsia="仿宋_GB2312"/>
          <w:color w:val="auto"/>
          <w:sz w:val="32"/>
          <w:szCs w:val="32"/>
        </w:rPr>
        <w:t>镇公共及市场服务能力，培育一批旅游</w:t>
      </w:r>
      <w:r>
        <w:rPr>
          <w:rFonts w:hint="eastAsia" w:eastAsia="仿宋_GB2312"/>
          <w:color w:val="auto"/>
          <w:sz w:val="32"/>
          <w:szCs w:val="32"/>
          <w:lang w:eastAsia="zh-CN"/>
        </w:rPr>
        <w:t>名镇</w:t>
      </w:r>
      <w:r>
        <w:rPr>
          <w:rFonts w:hint="eastAsia" w:eastAsia="仿宋_GB2312"/>
          <w:color w:val="auto"/>
          <w:sz w:val="32"/>
          <w:szCs w:val="32"/>
        </w:rPr>
        <w:t>、商贸</w:t>
      </w:r>
      <w:r>
        <w:rPr>
          <w:rFonts w:hint="eastAsia" w:eastAsia="仿宋_GB2312"/>
          <w:color w:val="auto"/>
          <w:sz w:val="32"/>
          <w:szCs w:val="32"/>
          <w:lang w:eastAsia="zh-CN"/>
        </w:rPr>
        <w:t>特色镇</w:t>
      </w:r>
      <w:r>
        <w:rPr>
          <w:rFonts w:hint="eastAsia" w:eastAsia="仿宋_GB2312"/>
          <w:color w:val="auto"/>
          <w:sz w:val="32"/>
          <w:szCs w:val="32"/>
        </w:rPr>
        <w:t>、</w:t>
      </w:r>
      <w:r>
        <w:rPr>
          <w:rFonts w:hint="eastAsia" w:eastAsia="仿宋_GB2312"/>
          <w:color w:val="auto"/>
          <w:sz w:val="32"/>
          <w:szCs w:val="32"/>
          <w:lang w:eastAsia="zh-CN"/>
        </w:rPr>
        <w:t>工业强镇</w:t>
      </w:r>
      <w:r>
        <w:rPr>
          <w:rFonts w:hint="eastAsia" w:eastAsia="仿宋_GB2312"/>
          <w:color w:val="auto"/>
          <w:sz w:val="32"/>
          <w:szCs w:val="32"/>
          <w:lang w:val="en-US" w:eastAsia="zh-CN"/>
        </w:rPr>
        <w:t>和美丽宜居小镇</w:t>
      </w:r>
      <w:r>
        <w:rPr>
          <w:rFonts w:eastAsia="仿宋_GB2312"/>
          <w:color w:val="auto"/>
          <w:sz w:val="32"/>
          <w:szCs w:val="32"/>
        </w:rPr>
        <w:t>。</w:t>
      </w:r>
      <w:r>
        <w:rPr>
          <w:rFonts w:hint="eastAsia" w:eastAsia="仿宋_GB2312"/>
          <w:color w:val="auto"/>
          <w:sz w:val="32"/>
          <w:szCs w:val="32"/>
          <w:lang w:eastAsia="zh-CN"/>
        </w:rPr>
        <w:t>完善偏远小城镇基础设施和公共服务，着力打造成为服务农村、带动周边的综合性小城镇。</w:t>
      </w:r>
      <w:r>
        <w:rPr>
          <w:rFonts w:hint="eastAsia" w:ascii="仿宋_GB2312" w:hAnsi="宋体" w:eastAsia="仿宋_GB2312" w:cs="仿宋_GB2312"/>
          <w:color w:val="auto"/>
          <w:szCs w:val="32"/>
        </w:rPr>
        <w:t>通过深化城镇综合改革建设试点，</w:t>
      </w:r>
      <w:r>
        <w:rPr>
          <w:rFonts w:eastAsia="仿宋_GB2312"/>
          <w:color w:val="auto"/>
          <w:sz w:val="32"/>
          <w:szCs w:val="32"/>
        </w:rPr>
        <w:t>支持地区人口较少、自然条件较差的乡镇合并</w:t>
      </w:r>
      <w:r>
        <w:rPr>
          <w:rFonts w:hint="eastAsia" w:eastAsia="仿宋_GB2312"/>
          <w:color w:val="auto"/>
          <w:sz w:val="32"/>
          <w:szCs w:val="32"/>
          <w:lang w:eastAsia="zh-CN"/>
        </w:rPr>
        <w:t>，</w:t>
      </w:r>
      <w:r>
        <w:rPr>
          <w:rFonts w:hint="eastAsia" w:ascii="仿宋_GB2312" w:hAnsi="宋体" w:eastAsia="仿宋_GB2312" w:cs="仿宋_GB2312"/>
          <w:color w:val="auto"/>
          <w:szCs w:val="32"/>
        </w:rPr>
        <w:t>对吸纳人口多、经济实力强的镇赋予同人口和经济规模相适应的管理权</w:t>
      </w:r>
      <w:r>
        <w:rPr>
          <w:rFonts w:hint="eastAsia" w:eastAsia="仿宋_GB2312"/>
          <w:color w:val="auto"/>
          <w:sz w:val="32"/>
          <w:szCs w:val="32"/>
          <w:lang w:eastAsia="zh-CN"/>
        </w:rPr>
        <w:t>。</w:t>
      </w:r>
    </w:p>
    <w:p>
      <w:pPr>
        <w:adjustRightInd w:val="0"/>
        <w:snapToGrid w:val="0"/>
        <w:spacing w:line="610" w:lineRule="atLeast"/>
        <w:ind w:firstLine="643"/>
        <w:rPr>
          <w:rFonts w:hint="eastAsia" w:ascii="仿宋_GB2312" w:hAnsi="宋体" w:eastAsia="仿宋_GB2312" w:cs="仿宋_GB2312"/>
          <w:color w:val="auto"/>
          <w:szCs w:val="32"/>
          <w:lang w:val="en-US" w:eastAsia="zh-CN"/>
        </w:rPr>
      </w:pPr>
      <w:r>
        <w:rPr>
          <w:rFonts w:hint="eastAsia" w:ascii="仿宋_GB2312" w:hAnsi="宋体" w:eastAsia="仿宋_GB2312" w:cs="仿宋_GB2312"/>
          <w:b/>
          <w:bCs/>
          <w:color w:val="auto"/>
          <w:szCs w:val="32"/>
          <w:lang w:val="en-US" w:eastAsia="zh-CN"/>
        </w:rPr>
        <w:t>扩大</w:t>
      </w:r>
      <w:r>
        <w:rPr>
          <w:rFonts w:hint="eastAsia" w:ascii="仿宋_GB2312" w:hAnsi="宋体" w:eastAsia="仿宋_GB2312" w:cs="仿宋_GB2312"/>
          <w:b/>
          <w:bCs/>
          <w:color w:val="auto"/>
          <w:szCs w:val="32"/>
        </w:rPr>
        <w:t>美丽乡村</w:t>
      </w:r>
      <w:r>
        <w:rPr>
          <w:rFonts w:hint="eastAsia" w:ascii="仿宋_GB2312" w:hAnsi="宋体" w:eastAsia="仿宋_GB2312" w:cs="仿宋_GB2312"/>
          <w:b/>
          <w:bCs/>
          <w:color w:val="auto"/>
          <w:szCs w:val="32"/>
          <w:lang w:val="en-US" w:eastAsia="zh-CN"/>
        </w:rPr>
        <w:t>覆盖面</w:t>
      </w:r>
      <w:r>
        <w:rPr>
          <w:rFonts w:hint="eastAsia" w:ascii="仿宋_GB2312" w:hAnsi="宋体" w:eastAsia="仿宋_GB2312" w:cs="仿宋_GB2312"/>
          <w:b/>
          <w:bCs/>
          <w:color w:val="auto"/>
          <w:szCs w:val="32"/>
        </w:rPr>
        <w:t>。</w:t>
      </w:r>
      <w:r>
        <w:rPr>
          <w:rFonts w:hint="eastAsia" w:ascii="仿宋_GB2312" w:hAnsi="宋体" w:eastAsia="仿宋_GB2312" w:cs="仿宋_GB2312"/>
          <w:color w:val="auto"/>
          <w:szCs w:val="32"/>
        </w:rPr>
        <w:t>立足村庄自然生态资源、环境条件和发展基础，</w:t>
      </w:r>
      <w:r>
        <w:rPr>
          <w:rFonts w:hint="eastAsia" w:ascii="仿宋_GB2312" w:hAnsi="宋体" w:eastAsia="仿宋_GB2312" w:cs="仿宋_GB2312"/>
          <w:color w:val="auto"/>
          <w:szCs w:val="32"/>
          <w:lang w:eastAsia="zh-CN"/>
        </w:rPr>
        <w:t>统筹规划</w:t>
      </w:r>
      <w:r>
        <w:rPr>
          <w:rFonts w:hint="eastAsia" w:ascii="仿宋_GB2312" w:hAnsi="宋体" w:eastAsia="仿宋_GB2312" w:cs="仿宋_GB2312"/>
          <w:color w:val="auto"/>
          <w:szCs w:val="32"/>
        </w:rPr>
        <w:t>村庄布局和规模</w:t>
      </w:r>
      <w:r>
        <w:rPr>
          <w:rFonts w:hint="eastAsia" w:ascii="仿宋_GB2312" w:hAnsi="宋体" w:eastAsia="仿宋_GB2312" w:cs="仿宋_GB2312"/>
          <w:color w:val="auto"/>
          <w:szCs w:val="32"/>
          <w:lang w:eastAsia="zh-CN"/>
        </w:rPr>
        <w:t>，</w:t>
      </w:r>
      <w:r>
        <w:rPr>
          <w:rFonts w:hint="eastAsia" w:ascii="仿宋_GB2312" w:hAnsi="宋体" w:eastAsia="仿宋_GB2312" w:cs="仿宋_GB2312"/>
          <w:color w:val="auto"/>
          <w:szCs w:val="32"/>
          <w:lang w:val="en-US" w:eastAsia="zh-CN"/>
        </w:rPr>
        <w:t>注重体现农村特色、乡土味道、田园风貌，</w:t>
      </w:r>
      <w:r>
        <w:rPr>
          <w:rFonts w:hint="eastAsia" w:ascii="仿宋_GB2312" w:hAnsi="宋体" w:eastAsia="仿宋_GB2312" w:cs="仿宋_GB2312"/>
          <w:color w:val="auto"/>
          <w:szCs w:val="32"/>
          <w:lang w:eastAsia="zh-CN"/>
        </w:rPr>
        <w:t>发展中心村、保护特色村、整治空心村，</w:t>
      </w:r>
      <w:r>
        <w:rPr>
          <w:rFonts w:hint="eastAsia" w:ascii="仿宋_GB2312" w:hAnsi="宋体" w:eastAsia="仿宋_GB2312" w:cs="仿宋_GB2312"/>
          <w:color w:val="auto"/>
          <w:szCs w:val="32"/>
          <w:lang w:val="en-US" w:eastAsia="zh-CN"/>
        </w:rPr>
        <w:t>有序推进村庄整合，建成一批宜居宜游美丽乡村。结合农村危房改造、易地扶贫搬迁等，</w:t>
      </w:r>
      <w:r>
        <w:rPr>
          <w:rFonts w:hint="eastAsia" w:ascii="仿宋_GB2312" w:eastAsia="仿宋_GB2312"/>
          <w:color w:val="auto"/>
          <w:sz w:val="32"/>
          <w:szCs w:val="32"/>
        </w:rPr>
        <w:t>推进农村饮水安全、电网改造升级、信息化建设和村庄道路硬化、亮化、绿化工程</w:t>
      </w:r>
      <w:r>
        <w:rPr>
          <w:rFonts w:hint="eastAsia" w:ascii="仿宋_GB2312" w:hAnsi="宋体" w:eastAsia="仿宋_GB2312" w:cs="仿宋_GB2312"/>
          <w:color w:val="auto"/>
          <w:szCs w:val="32"/>
          <w:lang w:val="en-US" w:eastAsia="zh-CN"/>
        </w:rPr>
        <w:t>。加快改善农村人居环境</w:t>
      </w:r>
      <w:r>
        <w:rPr>
          <w:rFonts w:hint="eastAsia" w:ascii="仿宋_GB2312" w:hAnsi="宋体" w:eastAsia="仿宋_GB2312" w:cs="仿宋_GB2312"/>
          <w:color w:val="auto"/>
          <w:szCs w:val="32"/>
        </w:rPr>
        <w:t>，</w:t>
      </w:r>
      <w:r>
        <w:rPr>
          <w:rFonts w:hint="eastAsia" w:ascii="仿宋_GB2312" w:hAnsi="宋体" w:eastAsia="仿宋_GB2312" w:cs="仿宋_GB2312"/>
          <w:color w:val="auto"/>
          <w:szCs w:val="32"/>
          <w:lang w:eastAsia="zh-CN"/>
        </w:rPr>
        <w:t>农村环境综合整治要实现全覆盖，</w:t>
      </w:r>
      <w:r>
        <w:rPr>
          <w:rFonts w:hint="eastAsia" w:ascii="仿宋_GB2312" w:hAnsi="宋体" w:eastAsia="仿宋_GB2312" w:cs="仿宋_GB2312"/>
          <w:color w:val="auto"/>
          <w:szCs w:val="32"/>
          <w:lang w:val="en-US" w:eastAsia="zh-CN"/>
        </w:rPr>
        <w:t>引导农民改变生产生活方式，推进村容村貌根本性转变</w:t>
      </w:r>
      <w:r>
        <w:rPr>
          <w:rFonts w:hint="eastAsia" w:ascii="仿宋_GB2312" w:hAnsi="宋体" w:eastAsia="仿宋_GB2312" w:cs="仿宋_GB2312"/>
          <w:color w:val="auto"/>
          <w:szCs w:val="32"/>
        </w:rPr>
        <w:t>。</w:t>
      </w:r>
      <w:r>
        <w:rPr>
          <w:rFonts w:hint="eastAsia" w:ascii="仿宋_GB2312" w:hAnsi="宋体" w:eastAsia="仿宋_GB2312" w:cs="仿宋_GB2312"/>
          <w:color w:val="auto"/>
          <w:szCs w:val="32"/>
          <w:lang w:val="en-US" w:eastAsia="zh-CN"/>
        </w:rPr>
        <w:t>完善农村流通网络，增加商品零售、餐饮及其他生活服务网点。加强传统村落民居和历史文化名村保护，逐步扩大新型农村社区覆盖面，实现30%的农村社区化。</w:t>
      </w:r>
    </w:p>
    <w:p>
      <w:pPr>
        <w:adjustRightInd w:val="0"/>
        <w:snapToGrid w:val="0"/>
        <w:spacing w:line="610" w:lineRule="atLeast"/>
        <w:ind w:firstLine="643"/>
        <w:rPr>
          <w:rFonts w:hint="eastAsia" w:ascii="仿宋_GB2312" w:hAnsi="宋体" w:eastAsia="仿宋_GB2312" w:cs="仿宋_GB2312"/>
          <w:color w:val="auto"/>
          <w:szCs w:val="32"/>
          <w:lang w:val="en-US" w:eastAsia="zh-CN"/>
        </w:rPr>
      </w:pPr>
    </w:p>
    <w:p>
      <w:pPr>
        <w:pStyle w:val="3"/>
        <w:keepNext w:val="0"/>
        <w:keepLines w:val="0"/>
        <w:spacing w:before="156" w:beforeLines="50" w:after="156" w:afterLines="50"/>
        <w:rPr>
          <w:rFonts w:hint="eastAsia" w:ascii="黑体" w:hAnsi="黑体" w:eastAsia="黑体" w:cs="宋体"/>
          <w:b w:val="0"/>
          <w:color w:val="auto"/>
        </w:rPr>
      </w:pPr>
      <w:bookmarkStart w:id="121" w:name="_Toc29868"/>
      <w:r>
        <w:rPr>
          <w:rFonts w:hint="eastAsia" w:ascii="黑体" w:hAnsi="黑体" w:eastAsia="黑体" w:cs="宋体"/>
          <w:b w:val="0"/>
          <w:color w:val="auto"/>
        </w:rPr>
        <w:t>第三节  全面提升公共服务水平</w:t>
      </w:r>
      <w:bookmarkEnd w:id="121"/>
    </w:p>
    <w:p>
      <w:pPr>
        <w:spacing w:line="640" w:lineRule="exact"/>
        <w:ind w:firstLine="643"/>
        <w:rPr>
          <w:rFonts w:hint="eastAsia" w:ascii="仿宋_GB2312" w:hAnsi="宋体" w:eastAsia="仿宋_GB2312"/>
          <w:color w:val="auto"/>
          <w:szCs w:val="21"/>
        </w:rPr>
      </w:pPr>
      <w:r>
        <w:rPr>
          <w:rFonts w:hint="eastAsia" w:ascii="仿宋_GB2312" w:eastAsia="仿宋_GB2312"/>
          <w:b/>
          <w:bCs/>
          <w:color w:val="auto"/>
        </w:rPr>
        <w:t>优先发展教育事业。</w:t>
      </w:r>
      <w:r>
        <w:rPr>
          <w:rFonts w:hint="eastAsia" w:ascii="仿宋_GB2312" w:hAnsi="宋体" w:eastAsia="仿宋_GB2312"/>
          <w:color w:val="auto"/>
          <w:szCs w:val="21"/>
        </w:rPr>
        <w:t>新建、改扩建一批城乡公办幼儿园，积极扶持民办幼儿园发展，多种形式扩大学前教育资源，到2020年基本普及学前三年教育。深入推进义务教育学校标准化建设，改善农村义务教育薄弱学校基本办学条件，落实农村义务教育学生营养改善计划，推进义务教育均衡发展；大力促进教育信息化建设，加强中小学校数字化教学资源开发利用；探索义务教育区域师资交流合作和转换机制，促进教师跨地区流动和优质教育资源共建共享。加快普及高中阶段教育，改善普通高中办学条件，加强普通高中骨干体系建设，实施高中质量提升工程，促进陕南地区高中教育发展。加快发展现代职业教育，实施职业教育能力建设工程，围绕发展特色产业和劳务输出，优化职业学校人才培养结构。提高高等教育办学水平，着力打造一批优势特色学科和特色品牌专业；加大高等院校定向招收边远贫困地区学生力度。支持区域内特殊教育、继续教育和民族教育发展。</w:t>
      </w:r>
    </w:p>
    <w:p>
      <w:pPr>
        <w:spacing w:line="640" w:lineRule="exact"/>
        <w:ind w:firstLine="643"/>
        <w:rPr>
          <w:rFonts w:hint="eastAsia" w:ascii="仿宋_GB2312" w:hAnsi="宋体" w:eastAsia="仿宋_GB2312"/>
          <w:color w:val="auto"/>
          <w:szCs w:val="21"/>
        </w:rPr>
      </w:pPr>
      <w:r>
        <w:rPr>
          <w:rFonts w:hint="eastAsia" w:ascii="仿宋_GB2312" w:eastAsia="仿宋_GB2312"/>
          <w:b/>
          <w:bCs/>
          <w:color w:val="auto"/>
        </w:rPr>
        <w:t>提升医疗卫生服务水平。</w:t>
      </w:r>
      <w:r>
        <w:rPr>
          <w:rFonts w:hint="eastAsia" w:ascii="仿宋_GB2312" w:hAnsi="宋体" w:eastAsia="仿宋_GB2312"/>
          <w:color w:val="auto"/>
          <w:szCs w:val="21"/>
        </w:rPr>
        <w:t>完善卫生监督、农村急救、妇幼保健、计划生育、重大疾病防控等公共卫生服务网络；加强和完善突发公共事件卫生应急网络,提高卫生应急和指挥决策能力。完善基层医疗卫生服务体系,按照填平补齐的原则,继续支持乡镇卫生院、社区卫生服务机构建设，确保每个村都有一所卫生室；支持地市级综合医院、县级综合医院及儿童、肿瘤、妇产等专科医院建设。加快推进公立医院改革，巩固完善基本药物制度，破除以药补医，降低虚高药价，合理调整医疗服务价格，通过医保支付等方式平衡费用，努力减轻群众负担。鼓励和引导社会资本举办医疗机构,放宽社会资本举办医疗机构的准入范围,形成多元办医格局。鼓励医生到基层多点执业，加快建立医疗纠纷预防调解机制。发展远程医疗服务，加强公立医院信息化建设。加强以全科医生为重点的基层医疗卫生队伍建设。发挥中医药资源优势,大力支持中医药和民族医药事业发展，实施民族中医药传承和创新人才工程。推进计划生育服务管理改革。</w:t>
      </w:r>
    </w:p>
    <w:p>
      <w:pPr>
        <w:spacing w:line="640" w:lineRule="exact"/>
        <w:ind w:firstLine="643"/>
        <w:rPr>
          <w:rFonts w:hint="eastAsia" w:ascii="仿宋_GB2312" w:hAnsi="仿宋_GB2312" w:eastAsia="仿宋_GB2312" w:cs="仿宋_GB2312"/>
          <w:color w:val="auto"/>
          <w:szCs w:val="32"/>
        </w:rPr>
      </w:pPr>
      <w:r>
        <w:rPr>
          <w:rFonts w:hint="eastAsia" w:ascii="仿宋_GB2312" w:eastAsia="仿宋_GB2312"/>
          <w:b/>
          <w:bCs/>
          <w:color w:val="auto"/>
        </w:rPr>
        <w:t>构建公共文化体系。</w:t>
      </w:r>
      <w:r>
        <w:rPr>
          <w:rFonts w:hint="eastAsia" w:ascii="仿宋_GB2312" w:hAnsi="宋体" w:eastAsia="仿宋_GB2312"/>
          <w:color w:val="auto"/>
          <w:szCs w:val="21"/>
        </w:rPr>
        <w:t>深入实施文化惠民工程，加快市县</w:t>
      </w:r>
      <w:r>
        <w:rPr>
          <w:rFonts w:hint="eastAsia" w:ascii="仿宋_GB2312" w:hAnsi="仿宋_GB2312" w:eastAsia="仿宋_GB2312" w:cs="仿宋_GB2312"/>
          <w:color w:val="auto"/>
          <w:szCs w:val="32"/>
        </w:rPr>
        <w:t>图书馆、文化馆（群艺馆）、市级博物馆及乡镇街道综合文化站、村及社区文化室、农家书屋等文化基础设施建设，推进公益性文化设施免费开放，大力开展全民阅读等公益性文化活动。加强广播电视无线数字化覆盖和直播卫星覆盖建设，促进广播电视基本公共服务均等化。加强历史文化名城、名镇、名村保护，保护传承非物质文化遗产，促进陕南民歌、陕南戏的保护和传承。大力发展群众体育，在区域性中心城市加快建设大型体育设施，重点支持县级公共体育场及社区、农村体育设施建设；鼓励开发具有地方特色的体育健身项目,举办区域性体育赛会；发展全民健身、竞技体育和体育产业。</w:t>
      </w:r>
    </w:p>
    <w:p>
      <w:pPr>
        <w:spacing w:line="640" w:lineRule="exact"/>
        <w:ind w:firstLine="643"/>
        <w:rPr>
          <w:rFonts w:hint="eastAsia" w:ascii="仿宋_GB2312" w:hAnsi="仿宋" w:eastAsia="仿宋_GB2312"/>
          <w:b/>
          <w:color w:val="auto"/>
          <w:sz w:val="28"/>
          <w:szCs w:val="28"/>
        </w:rPr>
      </w:pPr>
      <w:r>
        <w:rPr>
          <w:rFonts w:hint="eastAsia" w:ascii="仿宋_GB2312" w:eastAsia="仿宋_GB2312"/>
          <w:b/>
          <w:bCs/>
          <w:color w:val="auto"/>
        </w:rPr>
        <w:t>加强就业和社会保障。</w:t>
      </w:r>
      <w:r>
        <w:rPr>
          <w:rFonts w:hint="eastAsia" w:ascii="仿宋_GB2312" w:hAnsi="仿宋_GB2312" w:eastAsia="仿宋_GB2312" w:cs="仿宋_GB2312"/>
          <w:color w:val="auto"/>
          <w:szCs w:val="32"/>
        </w:rPr>
        <w:t>加快就业和社会保障服务设施建设力度，2020年前实现市、县、乡三级公共就业和社会保障服务平台全覆盖。加快推进城乡居民大病保险，完善重特大疾病医疗救助制度，提高大病患者住院合规自付费用报销和救助比例；建立健全社会保障机制，继续提高低保水平，提升优抚对象抚恤和生活补助标准；</w:t>
      </w:r>
      <w:r>
        <w:rPr>
          <w:rFonts w:hint="eastAsia" w:ascii="仿宋_GB2312" w:hAnsi="宋体" w:eastAsia="仿宋_GB2312"/>
          <w:color w:val="auto"/>
          <w:szCs w:val="21"/>
        </w:rPr>
        <w:t>加快社会养老服务体系和城乡社区服务体系建设，支持光荣院、儿童福利院、残疾人康复中心、老年养护机构、农村五保供养服务机构等服务设施建设</w:t>
      </w:r>
      <w:r>
        <w:rPr>
          <w:rFonts w:hint="eastAsia" w:ascii="仿宋_GB2312" w:hAnsi="仿宋_GB2312" w:eastAsia="仿宋_GB2312" w:cs="仿宋_GB2312"/>
          <w:color w:val="auto"/>
          <w:szCs w:val="32"/>
        </w:rPr>
        <w:t>；鼓励社会力量兴办养老设施，发展社区和居家养老。大力开展就业援助，帮助就业困难人员和零就业家庭解决就业；加强职业技术培训，开展对外劳务合作，有组织地输出区域内农村剩余劳动力；鼓励农民工回乡创业，实施大学生创业领先计划。</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284" w:type="dxa"/>
            <w:noWrap w:val="0"/>
            <w:vAlign w:val="top"/>
          </w:tcPr>
          <w:p>
            <w:pPr>
              <w:spacing w:before="156" w:beforeLines="50" w:after="156" w:afterLines="50" w:line="400" w:lineRule="exact"/>
              <w:ind w:firstLine="562"/>
              <w:jc w:val="center"/>
              <w:rPr>
                <w:rFonts w:hint="eastAsia" w:ascii="仿宋_GB2312" w:hAnsi="仿宋" w:eastAsia="仿宋_GB2312"/>
                <w:b/>
                <w:bCs/>
                <w:color w:val="auto"/>
                <w:sz w:val="28"/>
                <w:szCs w:val="28"/>
              </w:rPr>
            </w:pPr>
            <w:r>
              <w:rPr>
                <w:rFonts w:hint="eastAsia" w:ascii="仿宋_GB2312" w:hAnsi="仿宋" w:eastAsia="仿宋_GB2312"/>
                <w:b/>
                <w:color w:val="auto"/>
                <w:sz w:val="28"/>
                <w:szCs w:val="28"/>
              </w:rPr>
              <w:t>专栏1</w:t>
            </w:r>
            <w:r>
              <w:rPr>
                <w:rFonts w:hint="eastAsia" w:ascii="仿宋_GB2312" w:hAnsi="仿宋" w:eastAsia="仿宋_GB2312"/>
                <w:b/>
                <w:color w:val="auto"/>
                <w:sz w:val="28"/>
                <w:szCs w:val="28"/>
                <w:lang w:val="en-US" w:eastAsia="zh-CN"/>
              </w:rPr>
              <w:t>8</w:t>
            </w:r>
            <w:r>
              <w:rPr>
                <w:rFonts w:hint="eastAsia" w:ascii="仿宋_GB2312" w:hAnsi="仿宋" w:eastAsia="仿宋_GB2312"/>
                <w:b/>
                <w:color w:val="auto"/>
                <w:sz w:val="28"/>
                <w:szCs w:val="28"/>
              </w:rPr>
              <w:t xml:space="preserve">  公共服务重点项目</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教育</w:t>
            </w:r>
            <w:r>
              <w:rPr>
                <w:rFonts w:hint="eastAsia" w:ascii="仿宋_GB2312" w:hAnsi="仿宋" w:eastAsia="仿宋_GB2312"/>
                <w:color w:val="auto"/>
                <w:sz w:val="24"/>
              </w:rPr>
              <w:t>：</w:t>
            </w:r>
            <w:r>
              <w:rPr>
                <w:rFonts w:hint="eastAsia" w:ascii="仿宋_GB2312" w:hAnsi="仿宋" w:eastAsia="仿宋_GB2312"/>
                <w:bCs/>
                <w:color w:val="auto"/>
                <w:sz w:val="24"/>
              </w:rPr>
              <w:t>新建改建公办幼儿园200所、完全小学500所、九年制学校100所、初级中学100所、普通高中50所、中等职业学校10所、特殊教育学校5所。</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医疗：</w:t>
            </w:r>
            <w:r>
              <w:rPr>
                <w:rFonts w:hint="eastAsia" w:ascii="仿宋_GB2312" w:hAnsi="仿宋" w:eastAsia="仿宋_GB2312"/>
                <w:bCs/>
                <w:color w:val="auto"/>
                <w:sz w:val="24"/>
              </w:rPr>
              <w:t>建设市级专科医院15个；扩建县级医疗机构50个，其中县级医院20个、县级疾控中心15个、县级妇幼院15个；乡镇卫生院300个，村卫生室2000个。</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文化</w:t>
            </w:r>
            <w:r>
              <w:rPr>
                <w:rFonts w:hint="eastAsia" w:ascii="仿宋_GB2312" w:hAnsi="仿宋" w:eastAsia="仿宋_GB2312"/>
                <w:color w:val="auto"/>
                <w:sz w:val="24"/>
              </w:rPr>
              <w:t>：</w:t>
            </w:r>
            <w:r>
              <w:rPr>
                <w:rFonts w:hint="eastAsia" w:ascii="仿宋_GB2312" w:hAnsi="仿宋" w:eastAsia="仿宋_GB2312"/>
                <w:bCs/>
                <w:color w:val="auto"/>
                <w:sz w:val="24"/>
              </w:rPr>
              <w:t>建设3个市级图书馆，3个市级群艺馆，3个市级博物馆，建设汉江大剧院、汉中大剧院、香溪书院，建设美术馆20个、县级两馆一院30个，乡镇文化站200个。</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养老：</w:t>
            </w:r>
            <w:r>
              <w:rPr>
                <w:rFonts w:hint="eastAsia" w:ascii="仿宋_GB2312" w:hAnsi="仿宋" w:eastAsia="仿宋_GB2312"/>
                <w:bCs/>
                <w:color w:val="auto"/>
                <w:sz w:val="24"/>
              </w:rPr>
              <w:t>新建公办养老院（养老公寓）30个，敬老院100个，社会养老床位数达到每千名老年人40张，实现老年人日间照料中心覆盖所有城市社区，农村幸福院覆盖所有中心村。</w:t>
            </w:r>
          </w:p>
          <w:p>
            <w:pPr>
              <w:spacing w:line="400" w:lineRule="exact"/>
              <w:ind w:firstLine="482"/>
              <w:rPr>
                <w:rFonts w:hint="eastAsia" w:ascii="仿宋_GB2312" w:hAnsi="仿宋" w:eastAsia="仿宋_GB2312"/>
                <w:color w:val="auto"/>
                <w:sz w:val="24"/>
              </w:rPr>
            </w:pPr>
            <w:r>
              <w:rPr>
                <w:rFonts w:hint="eastAsia" w:ascii="仿宋_GB2312" w:hAnsi="仿宋" w:eastAsia="仿宋_GB2312"/>
                <w:b/>
                <w:bCs/>
                <w:color w:val="auto"/>
                <w:sz w:val="24"/>
              </w:rPr>
              <w:t>就业：</w:t>
            </w:r>
            <w:r>
              <w:rPr>
                <w:rFonts w:hint="eastAsia" w:ascii="仿宋_GB2312" w:hAnsi="仿宋" w:eastAsia="仿宋_GB2312"/>
                <w:color w:val="auto"/>
                <w:sz w:val="24"/>
              </w:rPr>
              <w:t>创建汉中、安康、商洛三个农民工返乡创业园，在28个县区建立公益劳务输出站。</w:t>
            </w:r>
          </w:p>
        </w:tc>
      </w:t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tbl>
    <w:p>
      <w:pPr>
        <w:pStyle w:val="2"/>
        <w:keepNext w:val="0"/>
        <w:keepLines w:val="0"/>
        <w:spacing w:before="312" w:beforeLines="100" w:after="312" w:afterLines="100"/>
        <w:jc w:val="center"/>
        <w:rPr>
          <w:rFonts w:hint="eastAsia" w:ascii="方正大标宋简体" w:hAnsi="黑体" w:eastAsia="方正大标宋简体" w:cs="黑体"/>
          <w:color w:val="auto"/>
        </w:rPr>
      </w:pPr>
      <w:bookmarkStart w:id="122" w:name="_Toc22333"/>
      <w:bookmarkStart w:id="123" w:name="_Toc298228109"/>
      <w:bookmarkStart w:id="124" w:name="_Toc285444554"/>
      <w:bookmarkStart w:id="125" w:name="_Toc285981788"/>
      <w:bookmarkStart w:id="126" w:name="_Toc285444325"/>
      <w:bookmarkStart w:id="127" w:name="_Toc287547121"/>
      <w:bookmarkStart w:id="128" w:name="_Toc286050757"/>
      <w:bookmarkStart w:id="129" w:name="_Toc286964597"/>
      <w:bookmarkStart w:id="130" w:name="_Toc287511901"/>
      <w:bookmarkStart w:id="131" w:name="_Toc286971184"/>
      <w:r>
        <w:rPr>
          <w:rFonts w:hint="eastAsia" w:ascii="方正大标宋简体" w:hAnsi="黑体" w:eastAsia="方正大标宋简体" w:cs="黑体"/>
          <w:color w:val="auto"/>
        </w:rPr>
        <w:t>第八章  保障措施</w:t>
      </w:r>
      <w:bookmarkEnd w:id="122"/>
    </w:p>
    <w:p>
      <w:pPr>
        <w:pStyle w:val="3"/>
        <w:keepNext w:val="0"/>
        <w:keepLines w:val="0"/>
        <w:spacing w:before="156" w:beforeLines="50" w:after="156" w:afterLines="50"/>
        <w:rPr>
          <w:rFonts w:hint="eastAsia" w:ascii="黑体" w:hAnsi="黑体" w:eastAsia="黑体" w:cs="宋体"/>
          <w:b w:val="0"/>
          <w:color w:val="auto"/>
        </w:rPr>
      </w:pPr>
      <w:bookmarkStart w:id="132" w:name="_Toc10973"/>
      <w:r>
        <w:rPr>
          <w:rFonts w:hint="eastAsia" w:ascii="黑体" w:hAnsi="黑体" w:eastAsia="黑体" w:cs="宋体"/>
          <w:b w:val="0"/>
          <w:color w:val="auto"/>
        </w:rPr>
        <w:t>第一节  政策保障</w:t>
      </w:r>
      <w:bookmarkEnd w:id="132"/>
    </w:p>
    <w:p>
      <w:pPr>
        <w:spacing w:line="610" w:lineRule="exact"/>
        <w:ind w:firstLine="643"/>
        <w:rPr>
          <w:rFonts w:hint="eastAsia" w:ascii="仿宋_GB2312" w:eastAsia="仿宋_GB2312"/>
          <w:b/>
          <w:bCs/>
          <w:color w:val="auto"/>
        </w:rPr>
      </w:pPr>
      <w:r>
        <w:rPr>
          <w:rFonts w:hint="eastAsia" w:ascii="仿宋_GB2312" w:hAnsi="仿宋" w:eastAsia="仿宋_GB2312" w:cs="仿宋"/>
          <w:b/>
          <w:bCs/>
          <w:color w:val="auto"/>
          <w:szCs w:val="32"/>
        </w:rPr>
        <w:t>财税政策。</w:t>
      </w:r>
      <w:r>
        <w:rPr>
          <w:rFonts w:hint="eastAsia" w:ascii="仿宋_GB2312" w:hAnsi="仿宋_GB2312" w:eastAsia="仿宋_GB2312" w:cs="仿宋_GB2312"/>
          <w:color w:val="auto"/>
          <w:szCs w:val="32"/>
        </w:rPr>
        <w:t>继续加大对陕南三市的财政转移支付力度，积极争取中央预算内资金和项目向陕南倾斜。</w:t>
      </w:r>
      <w:r>
        <w:rPr>
          <w:rFonts w:hint="eastAsia" w:ascii="仿宋_GB2312" w:hAnsi="宋体" w:eastAsia="仿宋_GB2312"/>
          <w:color w:val="auto"/>
          <w:szCs w:val="21"/>
        </w:rPr>
        <w:t>创新财政资金投入方式，积极搭建融资服务平台，通过市场化方式带动引导社会资本加大对陕南绿色循环发展项目的支持力度。对绿色循环发展和生态保护贡献突出区域，可结合资金性质，在陕南发展专项资金中，予以适当补助奖励</w:t>
      </w:r>
      <w:r>
        <w:rPr>
          <w:rFonts w:hint="eastAsia" w:ascii="仿宋_GB2312" w:hAnsi="仿宋_GB2312" w:eastAsia="仿宋_GB2312" w:cs="仿宋_GB2312"/>
          <w:color w:val="auto"/>
          <w:szCs w:val="32"/>
        </w:rPr>
        <w:t>。落实国家西部大开发、“南水北调”中线水源区保护、革命老区振兴、秦巴山片区扶贫攻坚、“一市一策”、“一县一产业”、高新技术产业等扶持政策，推动更快更好发展。</w:t>
      </w:r>
    </w:p>
    <w:p>
      <w:pPr>
        <w:spacing w:line="610" w:lineRule="exact"/>
        <w:ind w:firstLine="643"/>
        <w:rPr>
          <w:rFonts w:hint="eastAsia" w:ascii="仿宋_GB2312" w:hAnsi="仿宋_GB2312" w:eastAsia="仿宋_GB2312" w:cs="仿宋_GB2312"/>
          <w:color w:val="auto"/>
          <w:szCs w:val="32"/>
        </w:rPr>
      </w:pPr>
      <w:r>
        <w:rPr>
          <w:rFonts w:hint="eastAsia" w:ascii="仿宋_GB2312" w:hAnsi="仿宋" w:eastAsia="仿宋_GB2312" w:cs="仿宋"/>
          <w:b/>
          <w:bCs/>
          <w:color w:val="auto"/>
          <w:szCs w:val="32"/>
        </w:rPr>
        <w:t>金融政策。</w:t>
      </w:r>
      <w:r>
        <w:rPr>
          <w:rFonts w:hint="eastAsia" w:ascii="仿宋_GB2312" w:hAnsi="仿宋_GB2312" w:eastAsia="仿宋_GB2312" w:cs="仿宋_GB2312"/>
          <w:color w:val="auto"/>
          <w:szCs w:val="32"/>
        </w:rPr>
        <w:t>实施差别化存款准备金政策，鼓励各银行业金融机构总行扩大陕南贫困县分支机构授信审批权限，加大陕南地区支农再贷款支持力度，建立健全信贷资金投向陕南的激励机制。支持陕南符合条件的企业发行企业债券、中期票据、短期融资券、中小企业集合票据和上市融资。积极推进陕南农村金融产品和服务方式创新，支持民间资本以新设、并购和转制等多种形式设立民营银行、村镇银行、小额贷款公司、担保公司，加大对中小企业信贷支持力度。对农村住房、山林、茶园、果园等不动产进行确权颁证和价值评估，启动实施农村产权抵押贷款试点。研究将陕南特色优势农作物纳入政策性农业保险覆盖范围，提高保费补贴标准。</w:t>
      </w:r>
    </w:p>
    <w:p>
      <w:pPr>
        <w:spacing w:line="610" w:lineRule="exact"/>
        <w:ind w:firstLine="643"/>
        <w:rPr>
          <w:rFonts w:hint="eastAsia" w:ascii="仿宋_GB2312" w:eastAsia="仿宋_GB2312"/>
          <w:color w:val="auto"/>
          <w:sz w:val="30"/>
          <w:szCs w:val="30"/>
        </w:rPr>
      </w:pPr>
      <w:r>
        <w:rPr>
          <w:rFonts w:hint="eastAsia" w:ascii="仿宋_GB2312" w:hAnsi="仿宋" w:eastAsia="仿宋_GB2312" w:cs="仿宋"/>
          <w:b/>
          <w:bCs/>
          <w:color w:val="auto"/>
          <w:szCs w:val="32"/>
        </w:rPr>
        <w:t>资源政策。</w:t>
      </w:r>
      <w:r>
        <w:rPr>
          <w:rFonts w:hint="eastAsia" w:ascii="仿宋_GB2312" w:hAnsi="仿宋_GB2312" w:eastAsia="仿宋_GB2312" w:cs="仿宋_GB2312"/>
          <w:color w:val="auto"/>
          <w:szCs w:val="32"/>
        </w:rPr>
        <w:t>鼓励资源就地转化和综合利用，增加资源地天然气地方留存指标。引导中央、省直属资源开发企业在陕南就地注册、就地纳税。</w:t>
      </w:r>
      <w:r>
        <w:rPr>
          <w:rFonts w:hint="eastAsia" w:ascii="仿宋_GB2312" w:hAnsi="宋体" w:eastAsia="仿宋_GB2312"/>
          <w:color w:val="auto"/>
          <w:szCs w:val="21"/>
        </w:rPr>
        <w:t>加大矿产资源补偿费、探矿权采矿权使用费、矿业权价款用于资源地环境污染、水土流失治理和生态移民安置的投入比例。</w:t>
      </w:r>
      <w:r>
        <w:rPr>
          <w:rFonts w:hint="eastAsia" w:ascii="仿宋_GB2312" w:hAnsi="仿宋_GB2312" w:eastAsia="仿宋_GB2312" w:cs="仿宋_GB2312"/>
          <w:color w:val="auto"/>
          <w:szCs w:val="32"/>
        </w:rPr>
        <w:t>鼓励与中省企业合作勘探开发天然气等优势资源。支持陕南实施找矿突破战略行动，继续加大省地勘基金对陕南的投资力度，适当增加陕南地区探矿权投放数量，指导陕南三市编制好第三轮矿产资源规划。</w:t>
      </w:r>
    </w:p>
    <w:p>
      <w:pPr>
        <w:spacing w:line="610" w:lineRule="exact"/>
        <w:ind w:firstLine="643"/>
        <w:rPr>
          <w:rFonts w:hint="eastAsia" w:ascii="仿宋_GB2312" w:hAnsi="仿宋_GB2312" w:eastAsia="仿宋_GB2312" w:cs="仿宋_GB2312"/>
          <w:color w:val="auto"/>
          <w:szCs w:val="32"/>
        </w:rPr>
      </w:pPr>
      <w:r>
        <w:rPr>
          <w:rFonts w:hint="eastAsia" w:ascii="仿宋_GB2312" w:hAnsi="仿宋" w:eastAsia="仿宋_GB2312" w:cs="仿宋"/>
          <w:b/>
          <w:bCs/>
          <w:color w:val="auto"/>
          <w:szCs w:val="32"/>
        </w:rPr>
        <w:t>土地政策。</w:t>
      </w:r>
      <w:r>
        <w:rPr>
          <w:rFonts w:hint="eastAsia" w:ascii="仿宋_GB2312" w:hAnsi="仿宋_GB2312" w:eastAsia="仿宋_GB2312" w:cs="仿宋_GB2312"/>
          <w:color w:val="auto"/>
          <w:szCs w:val="32"/>
        </w:rPr>
        <w:t>加强土地市场监管，规范土地出让行为，加强产业发展规划与土地利用总体规划的衔接，</w:t>
      </w:r>
      <w:r>
        <w:rPr>
          <w:rFonts w:hint="eastAsia" w:ascii="仿宋_GB2312" w:hAnsi="宋体" w:eastAsia="仿宋_GB2312"/>
          <w:color w:val="auto"/>
          <w:szCs w:val="21"/>
        </w:rPr>
        <w:t>落实节约集约用地政策，合理统筹产业用地空间布局</w:t>
      </w:r>
      <w:r>
        <w:rPr>
          <w:rFonts w:hint="eastAsia" w:ascii="仿宋_GB2312" w:hAnsi="仿宋_GB2312" w:eastAsia="仿宋_GB2312" w:cs="仿宋_GB2312"/>
          <w:color w:val="auto"/>
          <w:szCs w:val="32"/>
        </w:rPr>
        <w:t>。适当增加陕南建设用地年度计划指标，优先保证循环经济核心聚集区产业用地和基础设施建设用地。建立陕南基础设施项目、循环经济产业项目、新农村公共服务设施用地审批“绿色通道”，简化审批程序，加快审批工作效率。</w:t>
      </w:r>
      <w:r>
        <w:rPr>
          <w:rFonts w:hint="eastAsia" w:ascii="仿宋_GB2312" w:hAnsi="宋体" w:eastAsia="仿宋_GB2312"/>
          <w:color w:val="auto"/>
          <w:szCs w:val="21"/>
        </w:rPr>
        <w:t>结合陕南移民搬迁土地综合利用专项规划实施开展农村土地整治，依法合规保障陕南循环发展用地</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rPr>
        <w:br w:type="textWrapping"/>
      </w:r>
      <w:r>
        <w:rPr>
          <w:rFonts w:hint="eastAsia" w:ascii="仿宋_GB2312" w:hAnsi="仿宋_GB2312" w:eastAsia="仿宋_GB2312" w:cs="仿宋_GB2312"/>
          <w:color w:val="auto"/>
          <w:szCs w:val="32"/>
        </w:rPr>
        <w:t xml:space="preserve">    </w:t>
      </w:r>
      <w:r>
        <w:rPr>
          <w:rFonts w:hint="eastAsia" w:ascii="仿宋_GB2312" w:hAnsi="仿宋" w:eastAsia="仿宋_GB2312" w:cs="仿宋"/>
          <w:b/>
          <w:bCs/>
          <w:color w:val="auto"/>
          <w:szCs w:val="32"/>
        </w:rPr>
        <w:t>帮扶政策。</w:t>
      </w:r>
      <w:r>
        <w:rPr>
          <w:rFonts w:hint="eastAsia" w:ascii="仿宋_GB2312" w:hAnsi="仿宋_GB2312" w:eastAsia="仿宋_GB2312" w:cs="仿宋_GB2312"/>
          <w:color w:val="auto"/>
          <w:szCs w:val="32"/>
        </w:rPr>
        <w:t>建立省内发达市、县（区）对口支援陕南县的机制，在基础设施建设、资源开发和产业发展、公共服务、精准扶贫等方面加大对口扶持力度。鼓励经济强县与陕南贫困县建立结对帮扶关系。加快建立省级政府机关、企事业单位、省级国有大中型企业定点帮扶陕南贫困县的工作机制。中省在陕企业定点帮扶贫困县专项活动以及民营企业陕南行、志愿者陕南行等公益活动，优先在陕南开展。引导大型民营企业在陕南包县、包乡、包村扶贫。</w:t>
      </w:r>
    </w:p>
    <w:p>
      <w:pPr>
        <w:spacing w:line="610" w:lineRule="exact"/>
        <w:ind w:firstLine="643"/>
        <w:rPr>
          <w:rFonts w:hint="eastAsia" w:ascii="仿宋_GB2312" w:hAnsi="仿宋" w:eastAsia="仿宋_GB2312" w:cs="仿宋"/>
          <w:b/>
          <w:bCs/>
          <w:color w:val="auto"/>
          <w:szCs w:val="32"/>
        </w:rPr>
      </w:pPr>
      <w:r>
        <w:rPr>
          <w:rFonts w:hint="eastAsia" w:ascii="仿宋_GB2312" w:hAnsi="仿宋" w:eastAsia="仿宋_GB2312" w:cs="仿宋"/>
          <w:b/>
          <w:bCs/>
          <w:color w:val="auto"/>
          <w:szCs w:val="32"/>
        </w:rPr>
        <w:t>科技政策。</w:t>
      </w:r>
      <w:r>
        <w:rPr>
          <w:rFonts w:hint="eastAsia" w:ascii="仿宋_GB2312" w:hAnsi="仿宋" w:eastAsia="仿宋_GB2312" w:cs="仿宋"/>
          <w:color w:val="auto"/>
          <w:szCs w:val="32"/>
        </w:rPr>
        <w:t>加大各类科技资金向陕南倾斜，加大省级科技经费向陕南的投入。支持关中地区的科研单位、大专院校在陕南转化科技成果，参与开发项目。</w:t>
      </w:r>
      <w:r>
        <w:rPr>
          <w:rFonts w:hint="eastAsia" w:ascii="仿宋_GB2312" w:hAnsi="宋体" w:eastAsia="仿宋_GB2312" w:cs="楷体_GB2312"/>
          <w:color w:val="auto"/>
          <w:szCs w:val="21"/>
        </w:rPr>
        <w:t>对在陕南转化获得国家技术发明奖、科技进步奖和省级科学技术一二三等奖技术的产业化项目，经评审确认后按照一定比例予以投资补助或贷款贴息</w:t>
      </w:r>
      <w:r>
        <w:rPr>
          <w:rFonts w:hint="eastAsia" w:ascii="仿宋_GB2312" w:hAnsi="仿宋" w:eastAsia="仿宋_GB2312" w:cs="仿宋"/>
          <w:color w:val="auto"/>
          <w:szCs w:val="32"/>
        </w:rPr>
        <w:t>。对循环经济产业发展方面的重大关键技术攻关给予补助。鼓励、引导企业增加研发资金投入，对获得省级以上科技奖的企业给予奖励。</w:t>
      </w:r>
      <w:r>
        <w:rPr>
          <w:rFonts w:hint="eastAsia" w:ascii="仿宋_GB2312" w:hAnsi="宋体" w:eastAsia="仿宋_GB2312" w:cs="楷体_GB2312"/>
          <w:color w:val="auto"/>
          <w:szCs w:val="21"/>
        </w:rPr>
        <w:t>对获得中国驰名商标、陕西省质量管理奖的企业，给予80-120万元奖励</w:t>
      </w:r>
      <w:r>
        <w:rPr>
          <w:rFonts w:hint="eastAsia" w:ascii="仿宋_GB2312" w:hAnsi="仿宋" w:eastAsia="仿宋_GB2312" w:cs="仿宋"/>
          <w:color w:val="auto"/>
          <w:szCs w:val="32"/>
        </w:rPr>
        <w:t>。</w:t>
      </w:r>
    </w:p>
    <w:p>
      <w:pPr>
        <w:spacing w:line="610" w:lineRule="exact"/>
        <w:ind w:firstLine="643"/>
        <w:rPr>
          <w:rFonts w:hint="eastAsia" w:ascii="仿宋_GB2312" w:hAnsi="仿宋" w:eastAsia="仿宋_GB2312" w:cs="仿宋"/>
          <w:color w:val="auto"/>
          <w:szCs w:val="32"/>
        </w:rPr>
      </w:pPr>
      <w:r>
        <w:rPr>
          <w:rFonts w:hint="eastAsia" w:ascii="仿宋_GB2312" w:hAnsi="仿宋" w:eastAsia="仿宋_GB2312" w:cs="仿宋"/>
          <w:b/>
          <w:bCs/>
          <w:color w:val="auto"/>
          <w:szCs w:val="32"/>
        </w:rPr>
        <w:t>人才政策。</w:t>
      </w:r>
      <w:r>
        <w:rPr>
          <w:rFonts w:hint="eastAsia" w:ascii="仿宋_GB2312" w:hAnsi="仿宋" w:eastAsia="仿宋_GB2312" w:cs="仿宋"/>
          <w:color w:val="auto"/>
          <w:szCs w:val="32"/>
        </w:rPr>
        <w:t>加强省级国家机关及关中、陕北地区干部和陕南干部的双向交流。落实吸引人才优惠政策，对陕南高技术人才、高级经营管理人才和紧缺人才在职务晋升、职称评定、子女入学、医疗科技等方面给与政策支持。增大陕南地区学生服务西部计划和农村义务教育特岗计划名额。继续加大国家重点人才和引智项目向陕南地区倾斜力度。提高陕南地区基层干部、教师、技术人员待遇。</w:t>
      </w:r>
    </w:p>
    <w:p>
      <w:pPr>
        <w:pStyle w:val="3"/>
        <w:keepNext w:val="0"/>
        <w:keepLines w:val="0"/>
        <w:spacing w:before="156" w:beforeLines="50" w:after="156" w:afterLines="50"/>
        <w:rPr>
          <w:rFonts w:hint="eastAsia" w:ascii="黑体" w:hAnsi="黑体" w:eastAsia="黑体" w:cs="宋体"/>
          <w:b w:val="0"/>
          <w:color w:val="auto"/>
        </w:rPr>
      </w:pPr>
      <w:bookmarkStart w:id="133" w:name="_Toc8944"/>
      <w:r>
        <w:rPr>
          <w:rFonts w:hint="eastAsia" w:ascii="黑体" w:hAnsi="黑体" w:eastAsia="黑体" w:cs="宋体"/>
          <w:b w:val="0"/>
          <w:color w:val="auto"/>
        </w:rPr>
        <w:t>第二节  组织保障</w:t>
      </w:r>
      <w:bookmarkEnd w:id="133"/>
    </w:p>
    <w:p>
      <w:pPr>
        <w:spacing w:line="610" w:lineRule="exact"/>
        <w:ind w:firstLine="643"/>
        <w:rPr>
          <w:rFonts w:hint="eastAsia" w:ascii="仿宋_GB2312" w:hAnsi="仿宋_GB2312" w:eastAsia="仿宋_GB2312" w:cs="仿宋_GB2312"/>
          <w:color w:val="auto"/>
          <w:szCs w:val="32"/>
        </w:rPr>
      </w:pPr>
      <w:r>
        <w:rPr>
          <w:rFonts w:hint="eastAsia" w:ascii="仿宋_GB2312" w:hAnsi="仿宋" w:eastAsia="仿宋_GB2312" w:cs="仿宋"/>
          <w:b/>
          <w:bCs/>
          <w:color w:val="auto"/>
          <w:szCs w:val="32"/>
        </w:rPr>
        <w:t>加强组织领导。</w:t>
      </w:r>
      <w:r>
        <w:rPr>
          <w:rFonts w:hint="eastAsia" w:ascii="仿宋_GB2312" w:hAnsi="仿宋" w:eastAsia="仿宋_GB2312" w:cs="仿宋"/>
          <w:color w:val="auto"/>
          <w:szCs w:val="32"/>
        </w:rPr>
        <w:t>省政府要加强对陕南循环发展工作的组织领导和顶层设计，成立以主管省长为组长的陕南循环发展领导小组，省级有关部门和陕南三市政府为小组成员。省政府每年召开陕南循环发展座谈会，研究解决陕南绿色循环发展过程中的重大问题，统筹推进陕南三市又好又快发展。省级有关部门要加强对陕南绿色发展工作指导，加大支持力度，全面落实规划提出的各项任务。</w:t>
      </w:r>
      <w:r>
        <w:rPr>
          <w:rFonts w:hint="eastAsia" w:ascii="仿宋_GB2312" w:hAnsi="仿宋_GB2312" w:eastAsia="仿宋_GB2312" w:cs="仿宋_GB2312"/>
          <w:color w:val="auto"/>
          <w:szCs w:val="32"/>
        </w:rPr>
        <w:t>省发展改革委要履行好领导小组办公室的职责，会同省级各部门落实好省委、省政府的相关决策，适时解决陕南发展中的有关问题。</w:t>
      </w:r>
    </w:p>
    <w:p>
      <w:pPr>
        <w:spacing w:line="610" w:lineRule="exact"/>
        <w:ind w:firstLine="643"/>
        <w:rPr>
          <w:rFonts w:hint="eastAsia" w:ascii="仿宋_GB2312" w:eastAsia="仿宋_GB2312"/>
          <w:color w:val="auto"/>
        </w:rPr>
      </w:pPr>
      <w:r>
        <w:rPr>
          <w:rFonts w:hint="eastAsia" w:ascii="仿宋_GB2312" w:hAnsi="仿宋" w:eastAsia="仿宋_GB2312" w:cs="仿宋"/>
          <w:b/>
          <w:bCs/>
          <w:color w:val="auto"/>
          <w:szCs w:val="32"/>
        </w:rPr>
        <w:t>加强目标考核。</w:t>
      </w:r>
      <w:bookmarkEnd w:id="123"/>
      <w:bookmarkEnd w:id="124"/>
      <w:bookmarkEnd w:id="125"/>
      <w:bookmarkEnd w:id="126"/>
      <w:bookmarkEnd w:id="127"/>
      <w:bookmarkEnd w:id="128"/>
      <w:bookmarkEnd w:id="129"/>
      <w:bookmarkEnd w:id="130"/>
      <w:bookmarkEnd w:id="131"/>
      <w:r>
        <w:rPr>
          <w:rFonts w:hint="eastAsia" w:ascii="仿宋_GB2312" w:hAnsi="仿宋" w:eastAsia="仿宋_GB2312" w:cs="仿宋"/>
          <w:color w:val="auto"/>
          <w:szCs w:val="32"/>
        </w:rPr>
        <w:t>要将陕南三市的绿色循环发展工作纳入年度目标责任考核，</w:t>
      </w:r>
      <w:r>
        <w:rPr>
          <w:rFonts w:hint="eastAsia" w:ascii="仿宋_GB2312" w:hAnsi="宋体" w:eastAsia="仿宋_GB2312" w:cs="楷体_GB2312"/>
          <w:color w:val="auto"/>
          <w:szCs w:val="21"/>
        </w:rPr>
        <w:t>按照《陕西省主体功能区规划》绩效评价政策要求，严格区分不同功能区域的绩效评价体系，对属于限制开发的国家和省级重点生态功能区，实行生态保护优先的绩效评价，弱化对工业化和城镇化经济指标评价，</w:t>
      </w:r>
      <w:r>
        <w:rPr>
          <w:rFonts w:hint="eastAsia" w:ascii="仿宋_GB2312" w:hAnsi="仿宋" w:eastAsia="仿宋_GB2312" w:cs="仿宋"/>
          <w:color w:val="auto"/>
          <w:szCs w:val="32"/>
        </w:rPr>
        <w:t>考核结果作为下达中央生态转移支付资金、对口协作资金和各类专项资金的重要依据。汉中、安康、商洛市人民</w:t>
      </w:r>
      <w:r>
        <w:rPr>
          <w:rFonts w:hint="eastAsia" w:ascii="仿宋_GB2312" w:hAnsi="仿宋_GB2312" w:eastAsia="仿宋_GB2312" w:cs="仿宋_GB2312"/>
          <w:color w:val="auto"/>
          <w:szCs w:val="32"/>
        </w:rPr>
        <w:t>政府要加强对本规划实施的组织领导，制定工作方案，明确责任分工，完善工作机制，组织编制具体实施方案和重点领域专项规划，建立重大项目库，逐级建立目标责任考核机制。规划实施中涉及的重大政策和重大项目，按权限和程序报批。各级政府完善规划实施的公众参与和监督机制，确保落实规划目标任务。</w:t>
      </w:r>
    </w:p>
    <w:p>
      <w:pPr>
        <w:ind w:firstLine="640"/>
        <w:rPr>
          <w:rFonts w:hint="eastAsia" w:ascii="仿宋_GB2312" w:eastAsia="仿宋_GB2312"/>
          <w:color w:val="auto"/>
        </w:rPr>
      </w:pPr>
    </w:p>
    <w:p>
      <w:pPr>
        <w:ind w:firstLine="640"/>
        <w:rPr>
          <w:rFonts w:ascii="仿宋_GB2312" w:eastAsia="仿宋_GB2312"/>
          <w:color w:val="auto"/>
        </w:rPr>
        <w:sectPr>
          <w:footerReference r:id="rId16" w:type="default"/>
          <w:pgSz w:w="11906" w:h="16838"/>
          <w:pgMar w:top="1701" w:right="1588" w:bottom="1588" w:left="1701" w:header="1021" w:footer="1021" w:gutter="0"/>
          <w:pgNumType w:start="1"/>
          <w:cols w:space="720" w:num="1"/>
          <w:docGrid w:type="linesAndChars" w:linePitch="312" w:charSpace="0"/>
        </w:sectPr>
      </w:pPr>
    </w:p>
    <w:p>
      <w:pPr>
        <w:ind w:firstLine="720"/>
        <w:jc w:val="center"/>
        <w:rPr>
          <w:rFonts w:hint="eastAsia" w:ascii="方正大标宋简体" w:eastAsia="方正大标宋简体"/>
          <w:color w:val="auto"/>
          <w:sz w:val="36"/>
          <w:szCs w:val="36"/>
        </w:rPr>
      </w:pPr>
      <w:r>
        <w:rPr>
          <w:rFonts w:hint="eastAsia" w:ascii="方正大标宋简体" w:eastAsia="方正大标宋简体"/>
          <w:color w:val="auto"/>
          <w:sz w:val="36"/>
          <w:szCs w:val="36"/>
        </w:rPr>
        <w:t>陕南“十三五”绿色循环重大项目库</w:t>
      </w:r>
    </w:p>
    <w:p>
      <w:pPr>
        <w:widowControl/>
        <w:spacing w:line="240" w:lineRule="auto"/>
        <w:ind w:firstLine="400" w:firstLineChars="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单位：亿元</w:t>
      </w:r>
    </w:p>
    <w:tbl>
      <w:tblPr>
        <w:tblStyle w:val="2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3610"/>
        <w:gridCol w:w="7167"/>
        <w:gridCol w:w="971"/>
        <w:gridCol w:w="1083"/>
        <w:gridCol w:w="766"/>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blHeader/>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rPr>
                <w:rFonts w:ascii="黑体" w:hAnsi="黑体" w:eastAsia="黑体" w:cs="宋体"/>
                <w:b/>
                <w:color w:val="auto"/>
                <w:kern w:val="0"/>
                <w:sz w:val="20"/>
                <w:szCs w:val="20"/>
              </w:rPr>
            </w:pPr>
            <w:r>
              <w:rPr>
                <w:rFonts w:hint="eastAsia" w:ascii="黑体" w:hAnsi="黑体" w:eastAsia="黑体" w:cs="宋体"/>
                <w:b/>
                <w:color w:val="auto"/>
                <w:kern w:val="0"/>
                <w:sz w:val="20"/>
                <w:szCs w:val="20"/>
              </w:rPr>
              <w:t>序号</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rPr>
                <w:rFonts w:ascii="黑体" w:hAnsi="黑体" w:eastAsia="黑体" w:cs="宋体"/>
                <w:b/>
                <w:color w:val="auto"/>
                <w:kern w:val="0"/>
                <w:sz w:val="20"/>
                <w:szCs w:val="20"/>
              </w:rPr>
            </w:pPr>
            <w:r>
              <w:rPr>
                <w:rFonts w:hint="eastAsia" w:ascii="黑体" w:hAnsi="黑体" w:eastAsia="黑体" w:cs="宋体"/>
                <w:b/>
                <w:color w:val="auto"/>
                <w:kern w:val="0"/>
                <w:sz w:val="20"/>
                <w:szCs w:val="20"/>
              </w:rPr>
              <w:t>项目名称</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rPr>
                <w:rFonts w:ascii="黑体" w:hAnsi="黑体" w:eastAsia="黑体" w:cs="宋体"/>
                <w:b/>
                <w:color w:val="auto"/>
                <w:kern w:val="0"/>
                <w:sz w:val="20"/>
                <w:szCs w:val="20"/>
              </w:rPr>
            </w:pPr>
            <w:r>
              <w:rPr>
                <w:rFonts w:hint="eastAsia" w:ascii="黑体" w:hAnsi="黑体" w:eastAsia="黑体" w:cs="宋体"/>
                <w:b/>
                <w:color w:val="auto"/>
                <w:kern w:val="0"/>
                <w:sz w:val="20"/>
                <w:szCs w:val="20"/>
              </w:rPr>
              <w:t>建设内容及规模</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rPr>
                <w:rFonts w:ascii="黑体" w:hAnsi="黑体" w:eastAsia="黑体" w:cs="宋体"/>
                <w:b/>
                <w:color w:val="auto"/>
                <w:kern w:val="0"/>
                <w:sz w:val="20"/>
                <w:szCs w:val="20"/>
              </w:rPr>
            </w:pPr>
            <w:r>
              <w:rPr>
                <w:rFonts w:hint="eastAsia" w:ascii="黑体" w:hAnsi="黑体" w:eastAsia="黑体" w:cs="宋体"/>
                <w:b/>
                <w:color w:val="auto"/>
                <w:kern w:val="0"/>
                <w:sz w:val="20"/>
                <w:szCs w:val="20"/>
              </w:rPr>
              <w:t>建设</w:t>
            </w:r>
            <w:r>
              <w:rPr>
                <w:rFonts w:hint="eastAsia" w:ascii="黑体" w:hAnsi="黑体" w:eastAsia="黑体" w:cs="宋体"/>
                <w:b/>
                <w:color w:val="auto"/>
                <w:kern w:val="0"/>
                <w:sz w:val="20"/>
                <w:szCs w:val="20"/>
              </w:rPr>
              <w:br w:type="textWrapping"/>
            </w:r>
            <w:r>
              <w:rPr>
                <w:rFonts w:hint="eastAsia" w:ascii="黑体" w:hAnsi="黑体" w:eastAsia="黑体" w:cs="宋体"/>
                <w:b/>
                <w:color w:val="auto"/>
                <w:kern w:val="0"/>
                <w:sz w:val="20"/>
                <w:szCs w:val="20"/>
              </w:rPr>
              <w:t>地点</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jc w:val="center"/>
              <w:rPr>
                <w:rFonts w:ascii="黑体" w:hAnsi="黑体" w:eastAsia="黑体" w:cs="宋体"/>
                <w:b/>
                <w:color w:val="auto"/>
                <w:kern w:val="0"/>
                <w:sz w:val="20"/>
                <w:szCs w:val="20"/>
              </w:rPr>
            </w:pPr>
            <w:r>
              <w:rPr>
                <w:rFonts w:hint="eastAsia" w:ascii="黑体" w:hAnsi="黑体" w:eastAsia="黑体" w:cs="宋体"/>
                <w:b/>
                <w:color w:val="auto"/>
                <w:kern w:val="0"/>
                <w:sz w:val="20"/>
                <w:szCs w:val="20"/>
              </w:rPr>
              <w:t>建设</w:t>
            </w:r>
            <w:r>
              <w:rPr>
                <w:rFonts w:hint="eastAsia" w:ascii="黑体" w:hAnsi="黑体" w:eastAsia="黑体" w:cs="宋体"/>
                <w:b/>
                <w:color w:val="auto"/>
                <w:kern w:val="0"/>
                <w:sz w:val="20"/>
                <w:szCs w:val="20"/>
              </w:rPr>
              <w:br w:type="textWrapping"/>
            </w:r>
            <w:r>
              <w:rPr>
                <w:rFonts w:hint="eastAsia" w:ascii="黑体" w:hAnsi="黑体" w:eastAsia="黑体" w:cs="宋体"/>
                <w:b/>
                <w:color w:val="auto"/>
                <w:kern w:val="0"/>
                <w:sz w:val="20"/>
                <w:szCs w:val="20"/>
              </w:rPr>
              <w:t>起止</w:t>
            </w:r>
            <w:r>
              <w:rPr>
                <w:rFonts w:hint="eastAsia" w:ascii="黑体" w:hAnsi="黑体" w:eastAsia="黑体" w:cs="宋体"/>
                <w:b/>
                <w:color w:val="auto"/>
                <w:kern w:val="0"/>
                <w:sz w:val="20"/>
                <w:szCs w:val="20"/>
              </w:rPr>
              <w:br w:type="textWrapping"/>
            </w:r>
            <w:r>
              <w:rPr>
                <w:rFonts w:hint="eastAsia" w:ascii="黑体" w:hAnsi="黑体" w:eastAsia="黑体" w:cs="宋体"/>
                <w:b/>
                <w:color w:val="auto"/>
                <w:kern w:val="0"/>
                <w:sz w:val="20"/>
                <w:szCs w:val="20"/>
              </w:rPr>
              <w:t>年限</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firstLine="0" w:firstLineChars="0"/>
              <w:rPr>
                <w:rFonts w:hint="default" w:ascii="Times New Roman" w:hAnsi="Times New Roman" w:eastAsia="黑体" w:cs="Times New Roman"/>
                <w:b/>
                <w:color w:val="auto"/>
                <w:spacing w:val="-10"/>
                <w:kern w:val="0"/>
                <w:sz w:val="20"/>
                <w:szCs w:val="20"/>
              </w:rPr>
            </w:pPr>
            <w:r>
              <w:rPr>
                <w:rFonts w:hint="default" w:ascii="Times New Roman" w:hAnsi="Times New Roman" w:eastAsia="黑体" w:cs="Times New Roman"/>
                <w:b/>
                <w:color w:val="auto"/>
                <w:spacing w:val="-10"/>
                <w:kern w:val="0"/>
                <w:sz w:val="20"/>
                <w:szCs w:val="20"/>
              </w:rPr>
              <w:t xml:space="preserve">总投资          </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0" w:leftChars="0" w:right="0" w:rightChars="0" w:firstLine="0" w:firstLineChars="0"/>
              <w:jc w:val="center"/>
              <w:rPr>
                <w:rFonts w:hint="default" w:ascii="Times New Roman" w:hAnsi="Times New Roman" w:eastAsia="黑体" w:cs="Times New Roman"/>
                <w:b/>
                <w:color w:val="auto"/>
                <w:kern w:val="0"/>
                <w:sz w:val="20"/>
                <w:szCs w:val="20"/>
              </w:rPr>
            </w:pPr>
            <w:r>
              <w:rPr>
                <w:rFonts w:hint="default" w:ascii="Times New Roman" w:hAnsi="Times New Roman" w:eastAsia="黑体" w:cs="Times New Roman"/>
                <w:b/>
                <w:color w:val="auto"/>
                <w:kern w:val="0"/>
                <w:sz w:val="20"/>
                <w:szCs w:val="20"/>
                <w:lang w:val="en-US" w:eastAsia="zh-CN"/>
              </w:rPr>
              <w:t>"十</w:t>
            </w:r>
            <w:r>
              <w:rPr>
                <w:rFonts w:hint="default" w:ascii="Times New Roman" w:hAnsi="Times New Roman" w:eastAsia="黑体" w:cs="Times New Roman"/>
                <w:b/>
                <w:color w:val="auto"/>
                <w:kern w:val="0"/>
                <w:sz w:val="20"/>
                <w:szCs w:val="20"/>
              </w:rPr>
              <w:t>三五</w:t>
            </w:r>
            <w:r>
              <w:rPr>
                <w:rFonts w:hint="default" w:ascii="Times New Roman" w:hAnsi="Times New Roman" w:eastAsia="黑体" w:cs="Times New Roman"/>
                <w:b/>
                <w:color w:val="auto"/>
                <w:kern w:val="0"/>
                <w:sz w:val="20"/>
                <w:szCs w:val="20"/>
                <w:lang w:val="en-US" w:eastAsia="zh-CN"/>
              </w:rPr>
              <w:t>"</w:t>
            </w:r>
            <w:r>
              <w:rPr>
                <w:rFonts w:hint="default" w:ascii="Times New Roman" w:hAnsi="Times New Roman" w:eastAsia="黑体" w:cs="Times New Roman"/>
                <w:b/>
                <w:color w:val="auto"/>
                <w:kern w:val="0"/>
                <w:sz w:val="20"/>
                <w:szCs w:val="20"/>
              </w:rPr>
              <w:t>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single" w:color="auto" w:sz="4" w:space="0"/>
              <w:left w:val="single" w:color="auto" w:sz="4" w:space="0"/>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　</w:t>
            </w:r>
          </w:p>
        </w:tc>
        <w:tc>
          <w:tcPr>
            <w:tcW w:w="3610"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合计（25</w:t>
            </w:r>
            <w:r>
              <w:rPr>
                <w:rFonts w:hint="eastAsia" w:ascii="黑体" w:hAnsi="黑体" w:eastAsia="黑体" w:cs="宋体"/>
                <w:color w:val="auto"/>
                <w:kern w:val="0"/>
                <w:sz w:val="20"/>
                <w:szCs w:val="20"/>
                <w:lang w:val="en-US" w:eastAsia="zh-CN"/>
              </w:rPr>
              <w:t>6</w:t>
            </w:r>
            <w:r>
              <w:rPr>
                <w:rFonts w:hint="eastAsia" w:ascii="黑体" w:hAnsi="黑体" w:eastAsia="黑体" w:cs="宋体"/>
                <w:color w:val="auto"/>
                <w:kern w:val="0"/>
                <w:sz w:val="20"/>
                <w:szCs w:val="20"/>
              </w:rPr>
              <w:t>项）</w:t>
            </w:r>
          </w:p>
        </w:tc>
        <w:tc>
          <w:tcPr>
            <w:tcW w:w="7167"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　</w:t>
            </w:r>
          </w:p>
        </w:tc>
        <w:tc>
          <w:tcPr>
            <w:tcW w:w="971"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　</w:t>
            </w:r>
          </w:p>
        </w:tc>
        <w:tc>
          <w:tcPr>
            <w:tcW w:w="1083"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　</w:t>
            </w:r>
          </w:p>
        </w:tc>
        <w:tc>
          <w:tcPr>
            <w:tcW w:w="766"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r>
              <w:rPr>
                <w:rFonts w:hint="eastAsia" w:eastAsia="宋体"/>
                <w:color w:val="auto"/>
                <w:kern w:val="0"/>
                <w:sz w:val="20"/>
                <w:szCs w:val="20"/>
                <w:lang w:val="en-US" w:eastAsia="zh-CN"/>
              </w:rPr>
              <w:t>378</w:t>
            </w:r>
          </w:p>
        </w:tc>
        <w:tc>
          <w:tcPr>
            <w:tcW w:w="766"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r>
              <w:rPr>
                <w:rFonts w:hint="eastAsia" w:eastAsia="宋体"/>
                <w:color w:val="auto"/>
                <w:kern w:val="0"/>
                <w:sz w:val="20"/>
                <w:szCs w:val="20"/>
              </w:rPr>
              <w:t>4</w:t>
            </w:r>
            <w:r>
              <w:rPr>
                <w:rFonts w:hint="eastAsia" w:eastAsia="宋体"/>
                <w:color w:val="auto"/>
                <w:kern w:val="0"/>
                <w:sz w:val="20"/>
                <w:szCs w:val="20"/>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一</w:t>
            </w:r>
          </w:p>
        </w:tc>
        <w:tc>
          <w:tcPr>
            <w:tcW w:w="3610" w:type="dxa"/>
            <w:tcBorders>
              <w:top w:val="single" w:color="auto" w:sz="4" w:space="0"/>
              <w:left w:val="nil"/>
              <w:bottom w:val="nil"/>
              <w:right w:val="single" w:color="auto" w:sz="4" w:space="0"/>
            </w:tcBorders>
            <w:noWrap w:val="0"/>
            <w:vAlign w:val="center"/>
          </w:tcPr>
          <w:p>
            <w:pPr>
              <w:widowControl/>
              <w:spacing w:line="240" w:lineRule="auto"/>
              <w:ind w:firstLine="0" w:firstLineChars="0"/>
              <w:jc w:val="left"/>
              <w:rPr>
                <w:rFonts w:ascii="黑体" w:hAnsi="黑体" w:eastAsia="黑体" w:cs="宋体"/>
                <w:color w:val="auto"/>
                <w:kern w:val="0"/>
                <w:sz w:val="20"/>
                <w:szCs w:val="20"/>
              </w:rPr>
            </w:pPr>
            <w:r>
              <w:rPr>
                <w:rFonts w:hint="eastAsia" w:ascii="黑体" w:hAnsi="黑体" w:eastAsia="黑体" w:cs="宋体"/>
                <w:color w:val="auto"/>
                <w:kern w:val="0"/>
                <w:sz w:val="20"/>
                <w:szCs w:val="20"/>
              </w:rPr>
              <w:t>战略性新兴产业工程（33项）</w:t>
            </w:r>
          </w:p>
        </w:tc>
        <w:tc>
          <w:tcPr>
            <w:tcW w:w="7167"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　</w:t>
            </w:r>
          </w:p>
        </w:tc>
        <w:tc>
          <w:tcPr>
            <w:tcW w:w="971"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　</w:t>
            </w:r>
          </w:p>
        </w:tc>
        <w:tc>
          <w:tcPr>
            <w:tcW w:w="1083"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　</w:t>
            </w:r>
          </w:p>
        </w:tc>
        <w:tc>
          <w:tcPr>
            <w:tcW w:w="766"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1809.8</w:t>
            </w:r>
          </w:p>
        </w:tc>
        <w:tc>
          <w:tcPr>
            <w:tcW w:w="766" w:type="dxa"/>
            <w:tcBorders>
              <w:top w:val="single" w:color="auto" w:sz="4" w:space="0"/>
              <w:left w:val="nil"/>
              <w:bottom w:val="nil"/>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汉中航空智慧新城</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打造飞机主机、飞机零部件、航空机载设备系统、飞机维修改装、航空地面设备系统、航空地面设备产业及其它航空产品制造六大产业。规划航空教育培训、医疗救护、航空旅游、航空文化和健康疗养产业五大服务产业体系</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2013-2030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1080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商洛软件服务外包基地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建设基础设施方案解决中心、客户服务中心、人力资源解决方案中心、外包解决方案中心、孵化中心、公共技术平台等机构，为客户提供一站式国际化专业服务</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商洛必康新医药综合体</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建设板蓝根、丹参、杜仲等多种中药材储备库、医药植物中间体、专业颗粒剂、包装配套、医药研发等产业链项目</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商丹园区山阳县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山阳纳米新材料产业园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建设年产硫酸钡纤维级纳米材料</w:t>
            </w:r>
            <w:r>
              <w:rPr>
                <w:rFonts w:eastAsia="仿宋_GB2312"/>
                <w:color w:val="auto"/>
                <w:kern w:val="0"/>
                <w:sz w:val="20"/>
                <w:szCs w:val="20"/>
              </w:rPr>
              <w:t>5</w:t>
            </w:r>
            <w:r>
              <w:rPr>
                <w:rFonts w:hint="eastAsia" w:ascii="仿宋_GB2312" w:hAnsi="宋体" w:eastAsia="仿宋_GB2312" w:cs="宋体"/>
                <w:color w:val="auto"/>
                <w:kern w:val="0"/>
                <w:sz w:val="20"/>
                <w:szCs w:val="20"/>
              </w:rPr>
              <w:t>万吨、硫酸钡蓄电池纳米材料</w:t>
            </w:r>
            <w:r>
              <w:rPr>
                <w:rFonts w:eastAsia="仿宋_GB2312"/>
                <w:color w:val="auto"/>
                <w:kern w:val="0"/>
                <w:sz w:val="20"/>
                <w:szCs w:val="20"/>
              </w:rPr>
              <w:t>2</w:t>
            </w:r>
            <w:r>
              <w:rPr>
                <w:rFonts w:hint="eastAsia" w:ascii="仿宋_GB2312" w:hAnsi="宋体" w:eastAsia="仿宋_GB2312" w:cs="宋体"/>
                <w:color w:val="auto"/>
                <w:kern w:val="0"/>
                <w:sz w:val="20"/>
                <w:szCs w:val="20"/>
              </w:rPr>
              <w:t>万吨、油墨纳米填料</w:t>
            </w:r>
            <w:r>
              <w:rPr>
                <w:rFonts w:eastAsia="仿宋_GB2312"/>
                <w:color w:val="auto"/>
                <w:kern w:val="0"/>
                <w:sz w:val="20"/>
                <w:szCs w:val="20"/>
              </w:rPr>
              <w:t>2</w:t>
            </w:r>
            <w:r>
              <w:rPr>
                <w:rFonts w:hint="eastAsia" w:ascii="仿宋_GB2312" w:hAnsi="宋体" w:eastAsia="仿宋_GB2312" w:cs="宋体"/>
                <w:color w:val="auto"/>
                <w:kern w:val="0"/>
                <w:sz w:val="20"/>
                <w:szCs w:val="20"/>
              </w:rPr>
              <w:t>万吨、硫酸钡高档漆纳米填料</w:t>
            </w:r>
            <w:r>
              <w:rPr>
                <w:rFonts w:eastAsia="仿宋_GB2312"/>
                <w:color w:val="auto"/>
                <w:kern w:val="0"/>
                <w:sz w:val="20"/>
                <w:szCs w:val="20"/>
              </w:rPr>
              <w:t>1</w:t>
            </w:r>
            <w:r>
              <w:rPr>
                <w:rFonts w:hint="eastAsia" w:ascii="仿宋_GB2312" w:hAnsi="宋体" w:eastAsia="仿宋_GB2312" w:cs="宋体"/>
                <w:color w:val="auto"/>
                <w:kern w:val="0"/>
                <w:sz w:val="20"/>
                <w:szCs w:val="20"/>
              </w:rPr>
              <w:t>万吨和年产</w:t>
            </w:r>
            <w:r>
              <w:rPr>
                <w:rFonts w:eastAsia="仿宋_GB2312"/>
                <w:color w:val="auto"/>
                <w:kern w:val="0"/>
                <w:sz w:val="20"/>
                <w:szCs w:val="20"/>
              </w:rPr>
              <w:t>9.8</w:t>
            </w:r>
            <w:r>
              <w:rPr>
                <w:rFonts w:hint="eastAsia" w:ascii="仿宋_GB2312" w:hAnsi="宋体" w:eastAsia="仿宋_GB2312" w:cs="宋体"/>
                <w:color w:val="auto"/>
                <w:kern w:val="0"/>
                <w:sz w:val="20"/>
                <w:szCs w:val="20"/>
              </w:rPr>
              <w:t>万吨纳米级碳酸钙超细粉及</w:t>
            </w:r>
            <w:r>
              <w:rPr>
                <w:rFonts w:eastAsia="仿宋_GB2312"/>
                <w:color w:val="auto"/>
                <w:kern w:val="0"/>
                <w:sz w:val="20"/>
                <w:szCs w:val="20"/>
              </w:rPr>
              <w:t>500</w:t>
            </w:r>
            <w:r>
              <w:rPr>
                <w:rFonts w:hint="eastAsia" w:ascii="仿宋_GB2312" w:hAnsi="宋体" w:eastAsia="仿宋_GB2312" w:cs="宋体"/>
                <w:color w:val="auto"/>
                <w:kern w:val="0"/>
                <w:sz w:val="20"/>
                <w:szCs w:val="20"/>
              </w:rPr>
              <w:t>吨食用钙片生产线，实施粉末冶金和增材开发项目</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洋县中核核能开发工业园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规划用地</w:t>
            </w:r>
            <w:r>
              <w:rPr>
                <w:rFonts w:eastAsia="仿宋_GB2312"/>
                <w:color w:val="auto"/>
                <w:kern w:val="0"/>
                <w:sz w:val="20"/>
                <w:szCs w:val="20"/>
              </w:rPr>
              <w:t>800</w:t>
            </w:r>
            <w:r>
              <w:rPr>
                <w:rFonts w:hint="eastAsia" w:ascii="仿宋_GB2312" w:hAnsi="宋体" w:eastAsia="仿宋_GB2312" w:cs="宋体"/>
                <w:color w:val="auto"/>
                <w:kern w:val="0"/>
                <w:sz w:val="20"/>
                <w:szCs w:val="20"/>
              </w:rPr>
              <w:t>亩，建设厂房、办公楼、生产线等设施，形成新增</w:t>
            </w:r>
            <w:r>
              <w:rPr>
                <w:rFonts w:eastAsia="仿宋_GB2312"/>
                <w:color w:val="auto"/>
                <w:kern w:val="0"/>
                <w:sz w:val="20"/>
                <w:szCs w:val="20"/>
              </w:rPr>
              <w:t>1000</w:t>
            </w:r>
            <w:r>
              <w:rPr>
                <w:rFonts w:hint="eastAsia" w:ascii="仿宋_GB2312" w:hAnsi="宋体" w:eastAsia="仿宋_GB2312" w:cs="宋体"/>
                <w:color w:val="auto"/>
                <w:kern w:val="0"/>
                <w:sz w:val="20"/>
                <w:szCs w:val="20"/>
              </w:rPr>
              <w:t>吨铀浓缩生产能力的工业园</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商丹园区铜铟镓硒薄膜太阳能电池生产线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w:t>
            </w:r>
            <w:r>
              <w:rPr>
                <w:rFonts w:eastAsia="仿宋_GB2312"/>
                <w:color w:val="auto"/>
                <w:kern w:val="0"/>
                <w:sz w:val="20"/>
                <w:szCs w:val="20"/>
              </w:rPr>
              <w:t>500</w:t>
            </w:r>
            <w:r>
              <w:rPr>
                <w:rFonts w:hint="eastAsia" w:ascii="仿宋_GB2312" w:hAnsi="宋体" w:eastAsia="仿宋_GB2312" w:cs="宋体"/>
                <w:color w:val="auto"/>
                <w:kern w:val="0"/>
                <w:sz w:val="20"/>
                <w:szCs w:val="20"/>
              </w:rPr>
              <w:t>亩，建设年产</w:t>
            </w:r>
            <w:r>
              <w:rPr>
                <w:rFonts w:eastAsia="仿宋_GB2312"/>
                <w:color w:val="auto"/>
                <w:kern w:val="0"/>
                <w:sz w:val="20"/>
                <w:szCs w:val="20"/>
              </w:rPr>
              <w:t>500MW</w:t>
            </w:r>
            <w:r>
              <w:rPr>
                <w:rFonts w:hint="eastAsia" w:ascii="仿宋_GB2312" w:hAnsi="宋体" w:eastAsia="仿宋_GB2312" w:cs="宋体"/>
                <w:color w:val="auto"/>
                <w:kern w:val="0"/>
                <w:sz w:val="20"/>
                <w:szCs w:val="20"/>
              </w:rPr>
              <w:t>非晶硅薄膜太阳能电池生产线及相关配套设施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商洛比亚迪太阳能光伏组件扩建工程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在年产</w:t>
            </w:r>
            <w:r>
              <w:rPr>
                <w:rFonts w:eastAsia="仿宋_GB2312"/>
                <w:color w:val="auto"/>
                <w:kern w:val="0"/>
                <w:sz w:val="20"/>
                <w:szCs w:val="20"/>
              </w:rPr>
              <w:t>1G</w:t>
            </w:r>
            <w:r>
              <w:rPr>
                <w:rFonts w:hint="eastAsia" w:ascii="仿宋_GB2312" w:hAnsi="宋体" w:eastAsia="仿宋_GB2312" w:cs="宋体"/>
                <w:color w:val="auto"/>
                <w:kern w:val="0"/>
                <w:sz w:val="20"/>
                <w:szCs w:val="20"/>
              </w:rPr>
              <w:t>兆瓦光伏组件的基础上，再扩建年产太阳能光伏组件</w:t>
            </w:r>
            <w:r>
              <w:rPr>
                <w:rFonts w:eastAsia="仿宋_GB2312"/>
                <w:color w:val="auto"/>
                <w:kern w:val="0"/>
                <w:sz w:val="20"/>
                <w:szCs w:val="20"/>
              </w:rPr>
              <w:t>1G</w:t>
            </w:r>
            <w:r>
              <w:rPr>
                <w:rFonts w:hint="eastAsia" w:ascii="仿宋_GB2312" w:hAnsi="宋体" w:eastAsia="仿宋_GB2312" w:cs="宋体"/>
                <w:color w:val="auto"/>
                <w:kern w:val="0"/>
                <w:sz w:val="20"/>
                <w:szCs w:val="20"/>
              </w:rPr>
              <w:t>兆瓦生产能力，形成年产</w:t>
            </w:r>
            <w:r>
              <w:rPr>
                <w:rFonts w:eastAsia="仿宋_GB2312"/>
                <w:color w:val="auto"/>
                <w:kern w:val="0"/>
                <w:sz w:val="20"/>
                <w:szCs w:val="20"/>
              </w:rPr>
              <w:t>2G</w:t>
            </w:r>
            <w:r>
              <w:rPr>
                <w:rFonts w:hint="eastAsia" w:ascii="仿宋_GB2312" w:hAnsi="宋体" w:eastAsia="仿宋_GB2312" w:cs="宋体"/>
                <w:color w:val="auto"/>
                <w:kern w:val="0"/>
                <w:sz w:val="20"/>
                <w:szCs w:val="20"/>
              </w:rPr>
              <w:t>兆瓦光伏组件的生产能力</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山阳五洲公司钒电池生产线</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利用丰富的钒矿资源，建设年产</w:t>
            </w:r>
            <w:r>
              <w:rPr>
                <w:rFonts w:eastAsia="仿宋_GB2312"/>
                <w:color w:val="auto"/>
                <w:kern w:val="0"/>
                <w:sz w:val="20"/>
                <w:szCs w:val="20"/>
              </w:rPr>
              <w:t>10</w:t>
            </w:r>
            <w:r>
              <w:rPr>
                <w:rFonts w:hint="eastAsia" w:ascii="仿宋_GB2312" w:hAnsi="宋体" w:eastAsia="仿宋_GB2312" w:cs="宋体"/>
                <w:color w:val="auto"/>
                <w:kern w:val="0"/>
                <w:sz w:val="20"/>
                <w:szCs w:val="20"/>
              </w:rPr>
              <w:t>万立方米钒电池电解液和</w:t>
            </w:r>
            <w:r>
              <w:rPr>
                <w:rFonts w:eastAsia="仿宋_GB2312"/>
                <w:color w:val="auto"/>
                <w:kern w:val="0"/>
                <w:sz w:val="20"/>
                <w:szCs w:val="20"/>
              </w:rPr>
              <w:t>1000</w:t>
            </w:r>
            <w:r>
              <w:rPr>
                <w:rFonts w:hint="eastAsia" w:ascii="仿宋_GB2312" w:hAnsi="宋体" w:eastAsia="仿宋_GB2312" w:cs="宋体"/>
                <w:color w:val="auto"/>
                <w:kern w:val="0"/>
                <w:sz w:val="20"/>
                <w:szCs w:val="20"/>
              </w:rPr>
              <w:t>兆瓦钒储能电池生产线及配套设施</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商洛跃迪电动客车整装生产线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w:t>
            </w:r>
            <w:r>
              <w:rPr>
                <w:rFonts w:eastAsia="仿宋_GB2312"/>
                <w:color w:val="auto"/>
                <w:kern w:val="0"/>
                <w:sz w:val="20"/>
                <w:szCs w:val="20"/>
              </w:rPr>
              <w:t>1000</w:t>
            </w:r>
            <w:r>
              <w:rPr>
                <w:rFonts w:hint="eastAsia" w:ascii="仿宋_GB2312" w:hAnsi="宋体" w:eastAsia="仿宋_GB2312" w:cs="宋体"/>
                <w:color w:val="auto"/>
                <w:kern w:val="0"/>
                <w:sz w:val="20"/>
                <w:szCs w:val="20"/>
              </w:rPr>
              <w:t>亩，建设年产</w:t>
            </w:r>
            <w:r>
              <w:rPr>
                <w:rFonts w:eastAsia="仿宋_GB2312"/>
                <w:color w:val="auto"/>
                <w:kern w:val="0"/>
                <w:sz w:val="20"/>
                <w:szCs w:val="20"/>
              </w:rPr>
              <w:t>2</w:t>
            </w:r>
            <w:r>
              <w:rPr>
                <w:rFonts w:hint="eastAsia" w:ascii="仿宋_GB2312" w:hAnsi="宋体" w:eastAsia="仿宋_GB2312" w:cs="宋体"/>
                <w:color w:val="auto"/>
                <w:kern w:val="0"/>
                <w:sz w:val="20"/>
                <w:szCs w:val="20"/>
              </w:rPr>
              <w:t>万辆新能源电动客车整装生产线及配套设施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商洛中德汽车产业园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引进德国技术，建设</w:t>
            </w:r>
            <w:r>
              <w:rPr>
                <w:rFonts w:eastAsia="仿宋_GB2312"/>
                <w:color w:val="auto"/>
                <w:kern w:val="0"/>
                <w:sz w:val="20"/>
                <w:szCs w:val="20"/>
              </w:rPr>
              <w:t>400</w:t>
            </w:r>
            <w:r>
              <w:rPr>
                <w:rFonts w:hint="eastAsia" w:ascii="仿宋_GB2312" w:hAnsi="宋体" w:eastAsia="仿宋_GB2312" w:cs="宋体"/>
                <w:color w:val="auto"/>
                <w:kern w:val="0"/>
                <w:sz w:val="20"/>
                <w:szCs w:val="20"/>
              </w:rPr>
              <w:t>万高效环保汽车电瓶、汽车发动机、汽车整体液压机及液压缸等生产线及配套设施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商洛比亚迪动力电池材料基地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依托比亚迪，建设动力电池电解液、正极材料、负极材料、隔膜纸等生产线，建设全国动力电池材料生产基地</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全钒氧化还原液流电池生产线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建设钒电池研发中心及生产线、年产各类总容量</w:t>
            </w:r>
            <w:r>
              <w:rPr>
                <w:rFonts w:eastAsia="仿宋_GB2312"/>
                <w:color w:val="auto"/>
                <w:kern w:val="0"/>
                <w:sz w:val="20"/>
                <w:szCs w:val="20"/>
              </w:rPr>
              <w:t>500MWH</w:t>
            </w:r>
            <w:r>
              <w:rPr>
                <w:rFonts w:hint="eastAsia" w:ascii="仿宋_GB2312" w:hAnsi="宋体" w:eastAsia="仿宋_GB2312" w:cs="宋体"/>
                <w:color w:val="auto"/>
                <w:kern w:val="0"/>
                <w:sz w:val="20"/>
                <w:szCs w:val="20"/>
              </w:rPr>
              <w:t>的全钒液流电池</w:t>
            </w:r>
            <w:r>
              <w:rPr>
                <w:rFonts w:eastAsia="仿宋_GB2312"/>
                <w:color w:val="auto"/>
                <w:kern w:val="0"/>
                <w:sz w:val="20"/>
                <w:szCs w:val="20"/>
              </w:rPr>
              <w:t>8600</w:t>
            </w:r>
            <w:r>
              <w:rPr>
                <w:rFonts w:hint="eastAsia" w:ascii="仿宋_GB2312" w:hAnsi="宋体" w:eastAsia="仿宋_GB2312" w:cs="宋体"/>
                <w:color w:val="auto"/>
                <w:kern w:val="0"/>
                <w:sz w:val="20"/>
                <w:szCs w:val="20"/>
              </w:rPr>
              <w:t>组</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商洛新能源汽车配套工程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配套建设汽车座椅、坐垫、空调、安全气囊、</w:t>
            </w:r>
            <w:r>
              <w:rPr>
                <w:rFonts w:eastAsia="仿宋_GB2312"/>
                <w:color w:val="auto"/>
                <w:kern w:val="0"/>
                <w:sz w:val="20"/>
                <w:szCs w:val="20"/>
              </w:rPr>
              <w:t>LED</w:t>
            </w:r>
            <w:r>
              <w:rPr>
                <w:rFonts w:hint="eastAsia" w:ascii="仿宋_GB2312" w:hAnsi="宋体" w:eastAsia="仿宋_GB2312" w:cs="宋体"/>
                <w:color w:val="auto"/>
                <w:kern w:val="0"/>
                <w:sz w:val="20"/>
                <w:szCs w:val="20"/>
              </w:rPr>
              <w:t>灯具、充电桩、车载电子产品、高端元器件、车用玻璃等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商洛太阳能光伏逆变器生产线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规划用地</w:t>
            </w:r>
            <w:r>
              <w:rPr>
                <w:rFonts w:eastAsia="仿宋_GB2312"/>
                <w:color w:val="auto"/>
                <w:kern w:val="0"/>
                <w:sz w:val="20"/>
                <w:szCs w:val="20"/>
              </w:rPr>
              <w:t>300</w:t>
            </w:r>
            <w:r>
              <w:rPr>
                <w:rFonts w:hint="eastAsia" w:ascii="仿宋_GB2312" w:hAnsi="宋体" w:eastAsia="仿宋_GB2312" w:cs="宋体"/>
                <w:color w:val="auto"/>
                <w:kern w:val="0"/>
                <w:sz w:val="20"/>
                <w:szCs w:val="20"/>
              </w:rPr>
              <w:t>亩，建设年产</w:t>
            </w:r>
            <w:r>
              <w:rPr>
                <w:rFonts w:eastAsia="仿宋_GB2312"/>
                <w:color w:val="auto"/>
                <w:kern w:val="0"/>
                <w:sz w:val="20"/>
                <w:szCs w:val="20"/>
              </w:rPr>
              <w:t>2000</w:t>
            </w:r>
            <w:r>
              <w:rPr>
                <w:rFonts w:hint="eastAsia" w:ascii="仿宋_GB2312" w:hAnsi="宋体" w:eastAsia="仿宋_GB2312" w:cs="宋体"/>
                <w:color w:val="auto"/>
                <w:kern w:val="0"/>
                <w:sz w:val="20"/>
                <w:szCs w:val="20"/>
              </w:rPr>
              <w:t>套太阳能光伏逆变器系列产品生产线及配套设施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商洛智能机器人产业园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建设集研发、生产制造、售后及教育培训为一体的智能机器人产业园</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商洛电子产业园</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利用东部产业转移机遇，加快电子信息产业发展，在洛南县、丹凤县、商南县和镇安县建设四大电子产业园</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洛南县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丹凤县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镇安县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w:t>
            </w:r>
            <w:r>
              <w:rPr>
                <w:rFonts w:eastAsia="仿宋_GB2312"/>
                <w:color w:val="auto"/>
                <w:kern w:val="0"/>
                <w:sz w:val="20"/>
                <w:szCs w:val="20"/>
              </w:rPr>
              <w:t>“</w:t>
            </w:r>
            <w:r>
              <w:rPr>
                <w:rFonts w:hint="eastAsia" w:ascii="仿宋_GB2312" w:hAnsi="宋体" w:eastAsia="仿宋_GB2312" w:cs="宋体"/>
                <w:color w:val="auto"/>
                <w:kern w:val="0"/>
                <w:sz w:val="20"/>
                <w:szCs w:val="20"/>
              </w:rPr>
              <w:t>双创</w:t>
            </w:r>
            <w:r>
              <w:rPr>
                <w:rFonts w:eastAsia="仿宋_GB2312"/>
                <w:color w:val="auto"/>
                <w:kern w:val="0"/>
                <w:sz w:val="20"/>
                <w:szCs w:val="20"/>
              </w:rPr>
              <w:t>”</w:t>
            </w:r>
            <w:r>
              <w:rPr>
                <w:rFonts w:hint="eastAsia" w:ascii="仿宋_GB2312" w:hAnsi="宋体" w:eastAsia="仿宋_GB2312" w:cs="宋体"/>
                <w:color w:val="auto"/>
                <w:kern w:val="0"/>
                <w:sz w:val="20"/>
                <w:szCs w:val="20"/>
              </w:rPr>
              <w:t>基地</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实施万众创新、大众创业计划，在</w:t>
            </w:r>
            <w:r>
              <w:rPr>
                <w:rFonts w:eastAsia="仿宋_GB2312"/>
                <w:color w:val="auto"/>
                <w:kern w:val="0"/>
                <w:sz w:val="20"/>
                <w:szCs w:val="20"/>
              </w:rPr>
              <w:t>6</w:t>
            </w:r>
            <w:r>
              <w:rPr>
                <w:rFonts w:hint="eastAsia" w:ascii="仿宋_GB2312" w:hAnsi="宋体" w:eastAsia="仿宋_GB2312" w:cs="宋体"/>
                <w:color w:val="auto"/>
                <w:kern w:val="0"/>
                <w:sz w:val="20"/>
                <w:szCs w:val="20"/>
              </w:rPr>
              <w:t>县区及商丹园区各建设一个</w:t>
            </w:r>
            <w:r>
              <w:rPr>
                <w:rFonts w:eastAsia="仿宋_GB2312"/>
                <w:color w:val="auto"/>
                <w:kern w:val="0"/>
                <w:sz w:val="20"/>
                <w:szCs w:val="20"/>
              </w:rPr>
              <w:t>“</w:t>
            </w:r>
            <w:r>
              <w:rPr>
                <w:rFonts w:hint="eastAsia" w:ascii="仿宋_GB2312" w:hAnsi="宋体" w:eastAsia="仿宋_GB2312" w:cs="宋体"/>
                <w:color w:val="auto"/>
                <w:kern w:val="0"/>
                <w:sz w:val="20"/>
                <w:szCs w:val="20"/>
              </w:rPr>
              <w:t>互联网</w:t>
            </w:r>
            <w:r>
              <w:rPr>
                <w:rFonts w:eastAsia="仿宋_GB2312"/>
                <w:color w:val="auto"/>
                <w:kern w:val="0"/>
                <w:sz w:val="20"/>
                <w:szCs w:val="20"/>
              </w:rPr>
              <w:t>+”</w:t>
            </w:r>
            <w:r>
              <w:rPr>
                <w:rFonts w:hint="eastAsia" w:ascii="仿宋_GB2312" w:hAnsi="宋体" w:eastAsia="仿宋_GB2312" w:cs="宋体"/>
                <w:color w:val="auto"/>
                <w:kern w:val="0"/>
                <w:sz w:val="20"/>
                <w:szCs w:val="20"/>
              </w:rPr>
              <w:t>创业孵化园</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智慧汉中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建设智慧交通、地理信息共享平台、智慧教育、智慧家居、智慧国土、智慧公安、智慧环保、智慧旅游、智慧科技等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智慧安康</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以“智慧政务、智慧交通物流、智慧安全、智慧能源、智慧文教、智慧医疗、智慧环境、智慧市政、智慧农业和智慧企业”10大应用为基础的安康“智慧城市”。推进以汉滨区为中心的秦巴区域群体城市大数据中心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智慧商洛</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中心城市、六县城及主要景区智慧网络体系建设；实施</w:t>
            </w:r>
            <w:r>
              <w:rPr>
                <w:rFonts w:eastAsia="仿宋_GB2312"/>
                <w:color w:val="auto"/>
                <w:kern w:val="0"/>
                <w:sz w:val="20"/>
                <w:szCs w:val="20"/>
              </w:rPr>
              <w:t>“</w:t>
            </w:r>
            <w:r>
              <w:rPr>
                <w:rFonts w:hint="eastAsia" w:ascii="仿宋_GB2312" w:hAnsi="宋体" w:eastAsia="仿宋_GB2312" w:cs="宋体"/>
                <w:color w:val="auto"/>
                <w:kern w:val="0"/>
                <w:sz w:val="20"/>
                <w:szCs w:val="20"/>
              </w:rPr>
              <w:t>互联网</w:t>
            </w:r>
            <w:r>
              <w:rPr>
                <w:rFonts w:eastAsia="仿宋_GB2312"/>
                <w:color w:val="auto"/>
                <w:kern w:val="0"/>
                <w:sz w:val="20"/>
                <w:szCs w:val="20"/>
              </w:rPr>
              <w:t>+”</w:t>
            </w:r>
            <w:r>
              <w:rPr>
                <w:rFonts w:hint="eastAsia" w:ascii="仿宋_GB2312" w:hAnsi="宋体" w:eastAsia="仿宋_GB2312" w:cs="宋体"/>
                <w:color w:val="auto"/>
                <w:kern w:val="0"/>
                <w:sz w:val="20"/>
                <w:szCs w:val="20"/>
              </w:rPr>
              <w:t>行动计划，推动移动互联网、云计算、大数据、物联网等与现代制造业结合，加快三网合一，实现村村通光缆、</w:t>
            </w:r>
            <w:r>
              <w:rPr>
                <w:rFonts w:eastAsia="仿宋_GB2312"/>
                <w:color w:val="auto"/>
                <w:kern w:val="0"/>
                <w:sz w:val="20"/>
                <w:szCs w:val="20"/>
              </w:rPr>
              <w:t>60%</w:t>
            </w:r>
            <w:r>
              <w:rPr>
                <w:rFonts w:hint="eastAsia" w:ascii="仿宋_GB2312" w:hAnsi="宋体" w:eastAsia="仿宋_GB2312" w:cs="宋体"/>
                <w:color w:val="auto"/>
                <w:kern w:val="0"/>
                <w:sz w:val="20"/>
                <w:szCs w:val="20"/>
              </w:rPr>
              <w:t>的居民用户光纤接入</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商洛超白光伏压延玻璃生产线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规划用地</w:t>
            </w:r>
            <w:r>
              <w:rPr>
                <w:rFonts w:eastAsia="仿宋_GB2312"/>
                <w:color w:val="auto"/>
                <w:kern w:val="0"/>
                <w:sz w:val="20"/>
                <w:szCs w:val="20"/>
              </w:rPr>
              <w:t>300</w:t>
            </w:r>
            <w:r>
              <w:rPr>
                <w:rFonts w:hint="eastAsia" w:ascii="仿宋_GB2312" w:hAnsi="宋体" w:eastAsia="仿宋_GB2312" w:cs="宋体"/>
                <w:color w:val="auto"/>
                <w:kern w:val="0"/>
                <w:sz w:val="20"/>
                <w:szCs w:val="20"/>
              </w:rPr>
              <w:t>亩，建设日产</w:t>
            </w:r>
            <w:r>
              <w:rPr>
                <w:rFonts w:eastAsia="仿宋_GB2312"/>
                <w:color w:val="auto"/>
                <w:kern w:val="0"/>
                <w:sz w:val="20"/>
                <w:szCs w:val="20"/>
              </w:rPr>
              <w:t>1000</w:t>
            </w:r>
            <w:r>
              <w:rPr>
                <w:rFonts w:hint="eastAsia" w:ascii="仿宋_GB2312" w:hAnsi="宋体" w:eastAsia="仿宋_GB2312" w:cs="宋体"/>
                <w:color w:val="auto"/>
                <w:kern w:val="0"/>
                <w:sz w:val="20"/>
                <w:szCs w:val="20"/>
              </w:rPr>
              <w:t>吨超白光伏压延玻璃生产线及配套实施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2018-2020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商洛秦岭电商谷</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建设约</w:t>
            </w:r>
            <w:r>
              <w:rPr>
                <w:rFonts w:eastAsia="仿宋_GB2312"/>
                <w:color w:val="auto"/>
                <w:kern w:val="0"/>
                <w:sz w:val="20"/>
                <w:szCs w:val="20"/>
              </w:rPr>
              <w:t>2</w:t>
            </w:r>
            <w:r>
              <w:rPr>
                <w:rFonts w:hint="eastAsia" w:ascii="仿宋_GB2312" w:hAnsi="宋体" w:eastAsia="仿宋_GB2312" w:cs="宋体"/>
                <w:color w:val="auto"/>
                <w:kern w:val="0"/>
                <w:sz w:val="20"/>
                <w:szCs w:val="20"/>
              </w:rPr>
              <w:t>万</w:t>
            </w:r>
            <w:r>
              <w:rPr>
                <w:rFonts w:eastAsia="仿宋_GB2312"/>
                <w:color w:val="auto"/>
                <w:kern w:val="0"/>
                <w:sz w:val="20"/>
                <w:szCs w:val="20"/>
              </w:rPr>
              <w:t>-3</w:t>
            </w:r>
            <w:r>
              <w:rPr>
                <w:rFonts w:hint="eastAsia" w:ascii="仿宋_GB2312" w:hAnsi="宋体" w:eastAsia="仿宋_GB2312" w:cs="宋体"/>
                <w:color w:val="auto"/>
                <w:kern w:val="0"/>
                <w:sz w:val="20"/>
                <w:szCs w:val="20"/>
              </w:rPr>
              <w:t>万人的办公、居住环境及配套设施，吸引全国各地</w:t>
            </w:r>
            <w:r>
              <w:rPr>
                <w:rFonts w:eastAsia="仿宋_GB2312"/>
                <w:color w:val="auto"/>
                <w:kern w:val="0"/>
                <w:sz w:val="20"/>
                <w:szCs w:val="20"/>
              </w:rPr>
              <w:t>500</w:t>
            </w:r>
            <w:r>
              <w:rPr>
                <w:rFonts w:hint="eastAsia" w:ascii="仿宋_GB2312" w:hAnsi="宋体" w:eastAsia="仿宋_GB2312" w:cs="宋体"/>
                <w:color w:val="auto"/>
                <w:kern w:val="0"/>
                <w:sz w:val="20"/>
                <w:szCs w:val="20"/>
              </w:rPr>
              <w:t>多家企业及电子商务服务机构入驻</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洋县</w:t>
            </w:r>
            <w:r>
              <w:rPr>
                <w:rFonts w:eastAsia="仿宋_GB2312"/>
                <w:color w:val="auto"/>
                <w:kern w:val="0"/>
                <w:sz w:val="20"/>
                <w:szCs w:val="20"/>
              </w:rPr>
              <w:t>3D</w:t>
            </w:r>
            <w:r>
              <w:rPr>
                <w:rFonts w:hint="eastAsia" w:ascii="仿宋_GB2312" w:hAnsi="宋体" w:eastAsia="仿宋_GB2312" w:cs="宋体"/>
                <w:color w:val="auto"/>
                <w:kern w:val="0"/>
                <w:sz w:val="20"/>
                <w:szCs w:val="20"/>
              </w:rPr>
              <w:t>材料产业园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在现代材料园区内建设</w:t>
            </w:r>
            <w:r>
              <w:rPr>
                <w:rFonts w:eastAsia="仿宋_GB2312"/>
                <w:color w:val="auto"/>
                <w:kern w:val="0"/>
                <w:sz w:val="20"/>
                <w:szCs w:val="20"/>
              </w:rPr>
              <w:t>3D</w:t>
            </w:r>
            <w:r>
              <w:rPr>
                <w:rFonts w:hint="eastAsia" w:ascii="仿宋_GB2312" w:hAnsi="宋体" w:eastAsia="仿宋_GB2312" w:cs="宋体"/>
                <w:color w:val="auto"/>
                <w:kern w:val="0"/>
                <w:sz w:val="20"/>
                <w:szCs w:val="20"/>
              </w:rPr>
              <w:t>材料产业园，完成产业园基础设施包括水、电、路，建设标准化厂房</w:t>
            </w:r>
            <w:r>
              <w:rPr>
                <w:rFonts w:eastAsia="仿宋_GB2312"/>
                <w:color w:val="auto"/>
                <w:kern w:val="0"/>
                <w:sz w:val="20"/>
                <w:szCs w:val="20"/>
              </w:rPr>
              <w:t>20000</w:t>
            </w:r>
            <w:r>
              <w:rPr>
                <w:rFonts w:hint="eastAsia" w:ascii="仿宋_GB2312" w:hAnsi="宋体" w:eastAsia="仿宋_GB2312" w:cs="宋体"/>
                <w:color w:val="auto"/>
                <w:kern w:val="0"/>
                <w:sz w:val="20"/>
                <w:szCs w:val="20"/>
              </w:rPr>
              <w:t>平方米，引进相关企业</w:t>
            </w:r>
            <w:r>
              <w:rPr>
                <w:rFonts w:eastAsia="仿宋_GB2312"/>
                <w:color w:val="auto"/>
                <w:kern w:val="0"/>
                <w:sz w:val="20"/>
                <w:szCs w:val="20"/>
              </w:rPr>
              <w:t>5</w:t>
            </w:r>
            <w:r>
              <w:rPr>
                <w:rFonts w:hint="eastAsia" w:ascii="仿宋_GB2312" w:hAnsi="宋体" w:eastAsia="仿宋_GB2312" w:cs="宋体"/>
                <w:color w:val="auto"/>
                <w:kern w:val="0"/>
                <w:sz w:val="20"/>
                <w:szCs w:val="20"/>
              </w:rPr>
              <w:t>家，初步形成产业优势，建设</w:t>
            </w:r>
            <w:r>
              <w:rPr>
                <w:rFonts w:eastAsia="仿宋_GB2312"/>
                <w:color w:val="auto"/>
                <w:kern w:val="0"/>
                <w:sz w:val="20"/>
                <w:szCs w:val="20"/>
              </w:rPr>
              <w:t>3D</w:t>
            </w:r>
            <w:r>
              <w:rPr>
                <w:rFonts w:hint="eastAsia" w:ascii="仿宋_GB2312" w:hAnsi="宋体" w:eastAsia="仿宋_GB2312" w:cs="宋体"/>
                <w:color w:val="auto"/>
                <w:kern w:val="0"/>
                <w:sz w:val="20"/>
                <w:szCs w:val="20"/>
              </w:rPr>
              <w:t>打印上游材料低成本多功能</w:t>
            </w:r>
            <w:r>
              <w:rPr>
                <w:rFonts w:eastAsia="仿宋_GB2312"/>
                <w:color w:val="auto"/>
                <w:kern w:val="0"/>
                <w:sz w:val="20"/>
                <w:szCs w:val="20"/>
              </w:rPr>
              <w:t>ABS/PLA</w:t>
            </w:r>
            <w:r>
              <w:rPr>
                <w:rFonts w:hint="eastAsia" w:ascii="仿宋_GB2312" w:hAnsi="宋体" w:eastAsia="仿宋_GB2312" w:cs="宋体"/>
                <w:color w:val="auto"/>
                <w:kern w:val="0"/>
                <w:sz w:val="20"/>
                <w:szCs w:val="20"/>
              </w:rPr>
              <w:t>型材料生产线；高性能尼龙（</w:t>
            </w:r>
            <w:r>
              <w:rPr>
                <w:rFonts w:eastAsia="仿宋_GB2312"/>
                <w:color w:val="auto"/>
                <w:kern w:val="0"/>
                <w:sz w:val="20"/>
                <w:szCs w:val="20"/>
              </w:rPr>
              <w:t>PA</w:t>
            </w:r>
            <w:r>
              <w:rPr>
                <w:rFonts w:hint="eastAsia" w:ascii="仿宋_GB2312" w:hAnsi="宋体" w:eastAsia="仿宋_GB2312" w:cs="宋体"/>
                <w:color w:val="auto"/>
                <w:kern w:val="0"/>
                <w:sz w:val="20"/>
                <w:szCs w:val="20"/>
              </w:rPr>
              <w:t>）复合材料生产线；</w:t>
            </w:r>
            <w:r>
              <w:rPr>
                <w:rFonts w:eastAsia="仿宋_GB2312"/>
                <w:color w:val="auto"/>
                <w:kern w:val="0"/>
                <w:sz w:val="20"/>
                <w:szCs w:val="20"/>
              </w:rPr>
              <w:t>3D</w:t>
            </w:r>
            <w:r>
              <w:rPr>
                <w:rFonts w:hint="eastAsia" w:ascii="仿宋_GB2312" w:hAnsi="宋体" w:eastAsia="仿宋_GB2312" w:cs="宋体"/>
                <w:color w:val="auto"/>
                <w:kern w:val="0"/>
                <w:sz w:val="20"/>
                <w:szCs w:val="20"/>
              </w:rPr>
              <w:t>打印粉末材料及粘结溶液的生产线各</w:t>
            </w:r>
            <w:r>
              <w:rPr>
                <w:rFonts w:eastAsia="仿宋_GB2312"/>
                <w:color w:val="auto"/>
                <w:kern w:val="0"/>
                <w:sz w:val="20"/>
                <w:szCs w:val="20"/>
              </w:rPr>
              <w:t>1</w:t>
            </w:r>
            <w:r>
              <w:rPr>
                <w:rFonts w:hint="eastAsia" w:ascii="仿宋_GB2312" w:hAnsi="宋体" w:eastAsia="仿宋_GB2312" w:cs="宋体"/>
                <w:color w:val="auto"/>
                <w:kern w:val="0"/>
                <w:sz w:val="20"/>
                <w:szCs w:val="20"/>
              </w:rPr>
              <w:t>条</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汉中科技孵化中心及生物医药孵化园</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产学研基地建设项目新建科技孵化中心、科技孵化厂房；生物医药孵化园建设项目新建</w:t>
            </w:r>
            <w:r>
              <w:rPr>
                <w:rFonts w:eastAsia="仿宋_GB2312"/>
                <w:color w:val="auto"/>
                <w:kern w:val="0"/>
                <w:sz w:val="20"/>
                <w:szCs w:val="20"/>
              </w:rPr>
              <w:t>5</w:t>
            </w:r>
            <w:r>
              <w:rPr>
                <w:rFonts w:hint="eastAsia" w:ascii="仿宋_GB2312" w:hAnsi="宋体" w:eastAsia="仿宋_GB2312" w:cs="宋体"/>
                <w:color w:val="auto"/>
                <w:kern w:val="0"/>
                <w:sz w:val="20"/>
                <w:szCs w:val="20"/>
              </w:rPr>
              <w:t>万平方米标准化厂房、办公楼、科研楼及生活区等配套设施</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陕西白云中药生产基地</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建设中药配方颗粒</w:t>
            </w:r>
            <w:r>
              <w:rPr>
                <w:rFonts w:eastAsia="仿宋_GB2312"/>
                <w:color w:val="auto"/>
                <w:kern w:val="0"/>
                <w:sz w:val="20"/>
                <w:szCs w:val="20"/>
              </w:rPr>
              <w:t>300</w:t>
            </w:r>
            <w:r>
              <w:rPr>
                <w:rFonts w:hint="eastAsia" w:ascii="仿宋_GB2312" w:hAnsi="宋体" w:eastAsia="仿宋_GB2312" w:cs="宋体"/>
                <w:color w:val="auto"/>
                <w:kern w:val="0"/>
                <w:sz w:val="20"/>
                <w:szCs w:val="20"/>
              </w:rPr>
              <w:t>吨生产线及厂房，年产中药饮片</w:t>
            </w:r>
            <w:r>
              <w:rPr>
                <w:rFonts w:eastAsia="仿宋_GB2312"/>
                <w:color w:val="auto"/>
                <w:kern w:val="0"/>
                <w:sz w:val="20"/>
                <w:szCs w:val="20"/>
              </w:rPr>
              <w:t>2000</w:t>
            </w:r>
            <w:r>
              <w:rPr>
                <w:rFonts w:hint="eastAsia" w:ascii="仿宋_GB2312" w:hAnsi="宋体" w:eastAsia="仿宋_GB2312" w:cs="宋体"/>
                <w:color w:val="auto"/>
                <w:kern w:val="0"/>
                <w:sz w:val="20"/>
                <w:szCs w:val="20"/>
              </w:rPr>
              <w:t>吨能力生产线；香菊片等药品研发，</w:t>
            </w:r>
            <w:r>
              <w:rPr>
                <w:rFonts w:eastAsia="仿宋_GB2312"/>
                <w:color w:val="auto"/>
                <w:kern w:val="0"/>
                <w:sz w:val="20"/>
                <w:szCs w:val="20"/>
              </w:rPr>
              <w:t>GMP</w:t>
            </w:r>
            <w:r>
              <w:rPr>
                <w:rFonts w:hint="eastAsia" w:ascii="仿宋_GB2312" w:hAnsi="宋体" w:eastAsia="仿宋_GB2312" w:cs="宋体"/>
                <w:color w:val="auto"/>
                <w:kern w:val="0"/>
                <w:sz w:val="20"/>
                <w:szCs w:val="20"/>
              </w:rPr>
              <w:t>车间改造；年提取</w:t>
            </w:r>
            <w:r>
              <w:rPr>
                <w:rFonts w:eastAsia="仿宋_GB2312"/>
                <w:color w:val="auto"/>
                <w:kern w:val="0"/>
                <w:sz w:val="20"/>
                <w:szCs w:val="20"/>
              </w:rPr>
              <w:t>10</w:t>
            </w:r>
            <w:r>
              <w:rPr>
                <w:rFonts w:hint="eastAsia" w:ascii="仿宋_GB2312" w:hAnsi="宋体" w:eastAsia="仿宋_GB2312" w:cs="宋体"/>
                <w:color w:val="auto"/>
                <w:kern w:val="0"/>
                <w:sz w:val="20"/>
                <w:szCs w:val="20"/>
              </w:rPr>
              <w:t>万吨延胡素生产线</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安康通用直升飞机研发生产基地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建设通用直升飞机及航空配件生产线，包括生产车间、综合办公楼及生活服务等配套设施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岚皋县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镇坪县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紫阳县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安康汉阴早阳风电场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10</w:t>
            </w:r>
            <w:r>
              <w:rPr>
                <w:rFonts w:hint="eastAsia" w:ascii="仿宋_GB2312" w:hAnsi="宋体" w:eastAsia="仿宋_GB2312" w:cs="宋体"/>
                <w:color w:val="auto"/>
                <w:kern w:val="0"/>
                <w:sz w:val="20"/>
                <w:szCs w:val="20"/>
              </w:rPr>
              <w:t>万千瓦风电场，安装</w:t>
            </w:r>
            <w:r>
              <w:rPr>
                <w:rFonts w:eastAsia="仿宋_GB2312"/>
                <w:color w:val="auto"/>
                <w:kern w:val="0"/>
                <w:sz w:val="20"/>
                <w:szCs w:val="20"/>
              </w:rPr>
              <w:t>50</w:t>
            </w:r>
            <w:r>
              <w:rPr>
                <w:rFonts w:hint="eastAsia" w:ascii="仿宋_GB2312" w:hAnsi="宋体" w:eastAsia="仿宋_GB2312" w:cs="宋体"/>
                <w:color w:val="auto"/>
                <w:kern w:val="0"/>
                <w:sz w:val="20"/>
                <w:szCs w:val="20"/>
              </w:rPr>
              <w:t>台</w:t>
            </w:r>
            <w:r>
              <w:rPr>
                <w:rFonts w:eastAsia="仿宋_GB2312"/>
                <w:color w:val="auto"/>
                <w:kern w:val="0"/>
                <w:sz w:val="20"/>
                <w:szCs w:val="20"/>
              </w:rPr>
              <w:t>2000</w:t>
            </w:r>
            <w:r>
              <w:rPr>
                <w:rFonts w:hint="eastAsia" w:ascii="仿宋_GB2312" w:hAnsi="宋体" w:eastAsia="仿宋_GB2312" w:cs="宋体"/>
                <w:color w:val="auto"/>
                <w:kern w:val="0"/>
                <w:sz w:val="20"/>
                <w:szCs w:val="20"/>
              </w:rPr>
              <w:t>千瓦风电机组</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汉阴县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佛坪药子梁风电场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10</w:t>
            </w:r>
            <w:r>
              <w:rPr>
                <w:rFonts w:hint="eastAsia" w:ascii="仿宋_GB2312" w:hAnsi="宋体" w:eastAsia="仿宋_GB2312" w:cs="宋体"/>
                <w:color w:val="auto"/>
                <w:kern w:val="0"/>
                <w:sz w:val="20"/>
                <w:szCs w:val="20"/>
              </w:rPr>
              <w:t>万千瓦风电场，安装</w:t>
            </w:r>
            <w:r>
              <w:rPr>
                <w:rFonts w:eastAsia="仿宋_GB2312"/>
                <w:color w:val="auto"/>
                <w:kern w:val="0"/>
                <w:sz w:val="20"/>
                <w:szCs w:val="20"/>
              </w:rPr>
              <w:t>50</w:t>
            </w:r>
            <w:r>
              <w:rPr>
                <w:rFonts w:hint="eastAsia" w:ascii="仿宋_GB2312" w:hAnsi="宋体" w:eastAsia="仿宋_GB2312" w:cs="宋体"/>
                <w:color w:val="auto"/>
                <w:kern w:val="0"/>
                <w:sz w:val="20"/>
                <w:szCs w:val="20"/>
              </w:rPr>
              <w:t>台</w:t>
            </w:r>
            <w:r>
              <w:rPr>
                <w:rFonts w:eastAsia="仿宋_GB2312"/>
                <w:color w:val="auto"/>
                <w:kern w:val="0"/>
                <w:sz w:val="20"/>
                <w:szCs w:val="20"/>
              </w:rPr>
              <w:t>2000</w:t>
            </w:r>
            <w:r>
              <w:rPr>
                <w:rFonts w:hint="eastAsia" w:ascii="仿宋_GB2312" w:hAnsi="宋体" w:eastAsia="仿宋_GB2312" w:cs="宋体"/>
                <w:color w:val="auto"/>
                <w:kern w:val="0"/>
                <w:sz w:val="20"/>
                <w:szCs w:val="20"/>
              </w:rPr>
              <w:t>千瓦风电机组</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佛坪县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陕南旅游观光光伏发电示范电站</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示范建设总装机</w:t>
            </w:r>
            <w:r>
              <w:rPr>
                <w:rFonts w:eastAsia="仿宋_GB2312"/>
                <w:color w:val="auto"/>
                <w:kern w:val="0"/>
                <w:sz w:val="20"/>
                <w:szCs w:val="20"/>
              </w:rPr>
              <w:t>10</w:t>
            </w:r>
            <w:r>
              <w:rPr>
                <w:rFonts w:hint="eastAsia" w:ascii="仿宋_GB2312" w:hAnsi="宋体" w:eastAsia="仿宋_GB2312" w:cs="宋体"/>
                <w:color w:val="auto"/>
                <w:kern w:val="0"/>
                <w:sz w:val="20"/>
                <w:szCs w:val="20"/>
              </w:rPr>
              <w:t>万千瓦的旅游观光光伏发电</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安康市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相关县区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高速宽带网络提升改造及通信光缆工程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新建架设电信、移动、联通、广电网络改造提升，新建农村通讯光纤，完善通信基础设施，扩大网络覆盖面</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西北云计算中心</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大数据基地10万平方米及配套设施建设。承接互联网企业，通过云计算技术、服务和商业模式的创新，为企业和机构提供丰富的企业云服务、行业云服务</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汉滨五里工业集中区电子信息产业园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完善基础设施及建设标准化厂房，拟引进集成电路产业、软件信息产业、计算机产业、平板显示产业、电子元器件产业及与信息产业相关的配套产业，形成一个以电子商务产业为先导，集科研、开发、人才培养、产品孵化为一体的电子产业集群</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好又多电商平台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打造“智慧超市”，以公司目前的8家直营店为基础和原点，在全市打造2000余家“智慧超市”，形成“智慧超市”的加盟店</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二</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黑体" w:hAnsi="黑体" w:eastAsia="黑体" w:cs="宋体"/>
                <w:color w:val="auto"/>
                <w:kern w:val="0"/>
                <w:sz w:val="20"/>
                <w:szCs w:val="20"/>
              </w:rPr>
            </w:pPr>
            <w:r>
              <w:rPr>
                <w:rFonts w:hint="eastAsia" w:ascii="黑体" w:hAnsi="黑体" w:eastAsia="黑体" w:cs="宋体"/>
                <w:color w:val="auto"/>
                <w:kern w:val="0"/>
                <w:sz w:val="20"/>
                <w:szCs w:val="20"/>
              </w:rPr>
              <w:t>装备制造及传统产业升级改造工程（104项）</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1960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34</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中德</w:t>
            </w:r>
            <w:r>
              <w:rPr>
                <w:rFonts w:eastAsia="仿宋_GB2312"/>
                <w:color w:val="auto"/>
                <w:kern w:val="0"/>
                <w:sz w:val="20"/>
                <w:szCs w:val="20"/>
              </w:rPr>
              <w:t>400</w:t>
            </w:r>
            <w:r>
              <w:rPr>
                <w:rFonts w:hint="eastAsia" w:ascii="仿宋_GB2312" w:hAnsi="宋体" w:eastAsia="仿宋_GB2312" w:cs="宋体"/>
                <w:color w:val="auto"/>
                <w:kern w:val="0"/>
                <w:sz w:val="20"/>
                <w:szCs w:val="20"/>
              </w:rPr>
              <w:t>万台高端汽车发动机生产线</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400</w:t>
            </w:r>
            <w:r>
              <w:rPr>
                <w:rFonts w:hint="eastAsia" w:ascii="仿宋_GB2312" w:hAnsi="宋体" w:eastAsia="仿宋_GB2312" w:cs="宋体"/>
                <w:color w:val="auto"/>
                <w:kern w:val="0"/>
                <w:sz w:val="20"/>
                <w:szCs w:val="20"/>
              </w:rPr>
              <w:t>万高效环保汽车电瓶、</w:t>
            </w:r>
            <w:r>
              <w:rPr>
                <w:rFonts w:eastAsia="仿宋_GB2312"/>
                <w:color w:val="auto"/>
                <w:kern w:val="0"/>
                <w:sz w:val="20"/>
                <w:szCs w:val="20"/>
              </w:rPr>
              <w:t>400</w:t>
            </w:r>
            <w:r>
              <w:rPr>
                <w:rFonts w:hint="eastAsia" w:ascii="仿宋_GB2312" w:hAnsi="宋体" w:eastAsia="仿宋_GB2312" w:cs="宋体"/>
                <w:color w:val="auto"/>
                <w:kern w:val="0"/>
                <w:sz w:val="20"/>
                <w:szCs w:val="20"/>
              </w:rPr>
              <w:t>万台汽车发动机、</w:t>
            </w:r>
            <w:r>
              <w:rPr>
                <w:rFonts w:eastAsia="仿宋_GB2312"/>
                <w:color w:val="auto"/>
                <w:kern w:val="0"/>
                <w:sz w:val="20"/>
                <w:szCs w:val="20"/>
              </w:rPr>
              <w:t>400</w:t>
            </w:r>
            <w:r>
              <w:rPr>
                <w:rFonts w:hint="eastAsia" w:ascii="仿宋_GB2312" w:hAnsi="宋体" w:eastAsia="仿宋_GB2312" w:cs="宋体"/>
                <w:color w:val="auto"/>
                <w:kern w:val="0"/>
                <w:sz w:val="20"/>
                <w:szCs w:val="20"/>
              </w:rPr>
              <w:t>万台汽车整体液压机</w:t>
            </w:r>
          </w:p>
        </w:tc>
        <w:tc>
          <w:tcPr>
            <w:tcW w:w="971" w:type="dxa"/>
            <w:tcBorders>
              <w:top w:val="single" w:color="auto" w:sz="4" w:space="0"/>
              <w:left w:val="nil"/>
              <w:bottom w:val="nil"/>
              <w:right w:val="nil"/>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汉川数控机床制造基地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总建筑面积</w:t>
            </w:r>
            <w:r>
              <w:rPr>
                <w:rFonts w:eastAsia="仿宋_GB2312"/>
                <w:color w:val="auto"/>
                <w:kern w:val="0"/>
                <w:sz w:val="20"/>
                <w:szCs w:val="20"/>
              </w:rPr>
              <w:t>21</w:t>
            </w:r>
            <w:r>
              <w:rPr>
                <w:rFonts w:hint="eastAsia" w:ascii="仿宋_GB2312" w:hAnsi="宋体" w:eastAsia="仿宋_GB2312" w:cs="宋体"/>
                <w:color w:val="auto"/>
                <w:kern w:val="0"/>
                <w:sz w:val="20"/>
                <w:szCs w:val="20"/>
              </w:rPr>
              <w:t>万平方米，新建生产厂房、综合站房等；新增金切机床、试验检测装置、起重机等工艺设备仪器</w:t>
            </w:r>
            <w:r>
              <w:rPr>
                <w:rFonts w:eastAsia="仿宋_GB2312"/>
                <w:color w:val="auto"/>
                <w:kern w:val="0"/>
                <w:sz w:val="20"/>
                <w:szCs w:val="20"/>
              </w:rPr>
              <w:t>507</w:t>
            </w:r>
            <w:r>
              <w:rPr>
                <w:rFonts w:hint="eastAsia" w:ascii="仿宋_GB2312" w:hAnsi="宋体" w:eastAsia="仿宋_GB2312" w:cs="宋体"/>
                <w:color w:val="auto"/>
                <w:kern w:val="0"/>
                <w:sz w:val="20"/>
                <w:szCs w:val="20"/>
              </w:rPr>
              <w:t>台（套）</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2012-2018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汉江工具专用刀具生产线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对目前所有生产线进行智能化升级改造，工业产值提升至</w:t>
            </w:r>
            <w:r>
              <w:rPr>
                <w:rFonts w:eastAsia="仿宋_GB2312"/>
                <w:color w:val="auto"/>
                <w:kern w:val="0"/>
                <w:sz w:val="20"/>
                <w:szCs w:val="20"/>
              </w:rPr>
              <w:t>10</w:t>
            </w:r>
            <w:r>
              <w:rPr>
                <w:rFonts w:hint="eastAsia" w:ascii="仿宋_GB2312" w:hAnsi="宋体" w:eastAsia="仿宋_GB2312" w:cs="宋体"/>
                <w:color w:val="auto"/>
                <w:kern w:val="0"/>
                <w:sz w:val="20"/>
                <w:szCs w:val="20"/>
              </w:rPr>
              <w:t>亿元</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运</w:t>
            </w:r>
            <w:r>
              <w:rPr>
                <w:rFonts w:eastAsia="仿宋_GB2312"/>
                <w:color w:val="auto"/>
                <w:kern w:val="0"/>
                <w:sz w:val="20"/>
                <w:szCs w:val="20"/>
              </w:rPr>
              <w:t>-X</w:t>
            </w:r>
            <w:r>
              <w:rPr>
                <w:rFonts w:hint="eastAsia" w:ascii="仿宋_GB2312" w:hAnsi="宋体" w:eastAsia="仿宋_GB2312" w:cs="宋体"/>
                <w:color w:val="auto"/>
                <w:kern w:val="0"/>
                <w:sz w:val="20"/>
                <w:szCs w:val="20"/>
              </w:rPr>
              <w:t>系列飞机产能提升</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对部装、总装、试飞、大件数控加工等核心能力进行能力扩增建设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2013-2018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雷达精确制导全天候巡检仪</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生产探测设备（由定位雷达、球型巡检仪、重载云台等组成）、链路传输设备、显控设备（由</w:t>
            </w:r>
            <w:r>
              <w:rPr>
                <w:rFonts w:eastAsia="仿宋_GB2312"/>
                <w:color w:val="auto"/>
                <w:kern w:val="0"/>
                <w:sz w:val="20"/>
                <w:szCs w:val="20"/>
              </w:rPr>
              <w:t>LED</w:t>
            </w:r>
            <w:r>
              <w:rPr>
                <w:rFonts w:hint="eastAsia" w:ascii="仿宋_GB2312" w:hAnsi="宋体" w:eastAsia="仿宋_GB2312" w:cs="宋体"/>
                <w:color w:val="auto"/>
                <w:kern w:val="0"/>
                <w:sz w:val="20"/>
                <w:szCs w:val="20"/>
              </w:rPr>
              <w:t>显示屏、监视器、计算机、监控服务器和存储设备等组成）、软件系统等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运</w:t>
            </w:r>
            <w:r>
              <w:rPr>
                <w:rFonts w:eastAsia="仿宋_GB2312"/>
                <w:color w:val="auto"/>
                <w:kern w:val="0"/>
                <w:sz w:val="20"/>
                <w:szCs w:val="20"/>
              </w:rPr>
              <w:t>9</w:t>
            </w:r>
            <w:r>
              <w:rPr>
                <w:rFonts w:hint="eastAsia" w:ascii="仿宋_GB2312" w:hAnsi="宋体" w:eastAsia="仿宋_GB2312" w:cs="宋体"/>
                <w:color w:val="auto"/>
                <w:kern w:val="0"/>
                <w:sz w:val="20"/>
                <w:szCs w:val="20"/>
              </w:rPr>
              <w:t>飞机产业化建设</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按适航管理条例以及市场需求</w:t>
            </w:r>
            <w:r>
              <w:rPr>
                <w:rFonts w:eastAsia="仿宋_GB2312"/>
                <w:color w:val="auto"/>
                <w:kern w:val="0"/>
                <w:sz w:val="20"/>
                <w:szCs w:val="20"/>
              </w:rPr>
              <w:t>,</w:t>
            </w:r>
            <w:r>
              <w:rPr>
                <w:rFonts w:hint="eastAsia" w:ascii="仿宋_GB2312" w:hAnsi="宋体" w:eastAsia="仿宋_GB2312" w:cs="宋体"/>
                <w:color w:val="auto"/>
                <w:kern w:val="0"/>
                <w:sz w:val="20"/>
                <w:szCs w:val="20"/>
              </w:rPr>
              <w:t>对运</w:t>
            </w:r>
            <w:r>
              <w:rPr>
                <w:rFonts w:eastAsia="仿宋_GB2312"/>
                <w:color w:val="auto"/>
                <w:kern w:val="0"/>
                <w:sz w:val="20"/>
                <w:szCs w:val="20"/>
              </w:rPr>
              <w:t>9</w:t>
            </w:r>
            <w:r>
              <w:rPr>
                <w:rFonts w:hint="eastAsia" w:ascii="仿宋_GB2312" w:hAnsi="宋体" w:eastAsia="仿宋_GB2312" w:cs="宋体"/>
                <w:color w:val="auto"/>
                <w:kern w:val="0"/>
                <w:sz w:val="20"/>
                <w:szCs w:val="20"/>
              </w:rPr>
              <w:t>飞机进行适应性改造</w:t>
            </w:r>
            <w:r>
              <w:rPr>
                <w:rFonts w:eastAsia="仿宋_GB2312"/>
                <w:color w:val="auto"/>
                <w:kern w:val="0"/>
                <w:sz w:val="20"/>
                <w:szCs w:val="20"/>
              </w:rPr>
              <w:t>,</w:t>
            </w:r>
            <w:r>
              <w:rPr>
                <w:rFonts w:hint="eastAsia" w:ascii="仿宋_GB2312" w:hAnsi="宋体" w:eastAsia="仿宋_GB2312" w:cs="宋体"/>
                <w:color w:val="auto"/>
                <w:kern w:val="0"/>
                <w:sz w:val="20"/>
                <w:szCs w:val="20"/>
              </w:rPr>
              <w:t>满足国内外民用货机的需求</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汉中新能源汽车及零部件生产线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建筑面积共</w:t>
            </w:r>
            <w:r>
              <w:rPr>
                <w:rFonts w:eastAsia="仿宋_GB2312"/>
                <w:color w:val="auto"/>
                <w:kern w:val="0"/>
                <w:sz w:val="20"/>
                <w:szCs w:val="20"/>
              </w:rPr>
              <w:t>19.5</w:t>
            </w:r>
            <w:r>
              <w:rPr>
                <w:rFonts w:hint="eastAsia" w:ascii="仿宋_GB2312" w:hAnsi="宋体" w:eastAsia="仿宋_GB2312" w:cs="宋体"/>
                <w:color w:val="auto"/>
                <w:kern w:val="0"/>
                <w:sz w:val="20"/>
                <w:szCs w:val="20"/>
              </w:rPr>
              <w:t>万平方米，建设生产车间、研发中心、仓库、综合办公楼和职工宿舍、汽车零部件生产线</w:t>
            </w:r>
            <w:r>
              <w:rPr>
                <w:rFonts w:eastAsia="仿宋_GB2312"/>
                <w:color w:val="auto"/>
                <w:kern w:val="0"/>
                <w:sz w:val="20"/>
                <w:szCs w:val="20"/>
              </w:rPr>
              <w:t>3</w:t>
            </w:r>
            <w:r>
              <w:rPr>
                <w:rFonts w:hint="eastAsia" w:ascii="仿宋_GB2312" w:hAnsi="宋体" w:eastAsia="仿宋_GB2312" w:cs="宋体"/>
                <w:color w:val="auto"/>
                <w:kern w:val="0"/>
                <w:sz w:val="20"/>
                <w:szCs w:val="20"/>
              </w:rPr>
              <w:t>条，购置生产设备</w:t>
            </w:r>
            <w:r>
              <w:rPr>
                <w:rFonts w:eastAsia="仿宋_GB2312"/>
                <w:color w:val="auto"/>
                <w:kern w:val="0"/>
                <w:sz w:val="20"/>
                <w:szCs w:val="20"/>
              </w:rPr>
              <w:t>750</w:t>
            </w:r>
            <w:r>
              <w:rPr>
                <w:rFonts w:hint="eastAsia" w:ascii="仿宋_GB2312" w:hAnsi="宋体" w:eastAsia="仿宋_GB2312" w:cs="宋体"/>
                <w:color w:val="auto"/>
                <w:kern w:val="0"/>
                <w:sz w:val="20"/>
                <w:szCs w:val="20"/>
              </w:rPr>
              <w:t>台（套）</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汉台智能立体车库生产线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建筑面积共</w:t>
            </w:r>
            <w:r>
              <w:rPr>
                <w:rFonts w:eastAsia="仿宋_GB2312"/>
                <w:color w:val="auto"/>
                <w:kern w:val="0"/>
                <w:sz w:val="20"/>
                <w:szCs w:val="20"/>
              </w:rPr>
              <w:t>12.1</w:t>
            </w:r>
            <w:r>
              <w:rPr>
                <w:rFonts w:hint="eastAsia" w:ascii="仿宋_GB2312" w:hAnsi="宋体" w:eastAsia="仿宋_GB2312" w:cs="宋体"/>
                <w:color w:val="auto"/>
                <w:kern w:val="0"/>
                <w:sz w:val="20"/>
                <w:szCs w:val="20"/>
              </w:rPr>
              <w:t>万平方米，建设生产车间、仓库、综合办公楼、职工宿舍楼、智能车库生产线</w:t>
            </w:r>
            <w:r>
              <w:rPr>
                <w:rFonts w:eastAsia="仿宋_GB2312"/>
                <w:color w:val="auto"/>
                <w:kern w:val="0"/>
                <w:sz w:val="20"/>
                <w:szCs w:val="20"/>
              </w:rPr>
              <w:t>4</w:t>
            </w:r>
            <w:r>
              <w:rPr>
                <w:rFonts w:hint="eastAsia" w:ascii="仿宋_GB2312" w:hAnsi="宋体" w:eastAsia="仿宋_GB2312" w:cs="宋体"/>
                <w:color w:val="auto"/>
                <w:kern w:val="0"/>
                <w:sz w:val="20"/>
                <w:szCs w:val="20"/>
              </w:rPr>
              <w:t>条，购置数控切割机、数控剪板机等设备</w:t>
            </w:r>
            <w:r>
              <w:rPr>
                <w:rFonts w:eastAsia="仿宋_GB2312"/>
                <w:color w:val="auto"/>
                <w:kern w:val="0"/>
                <w:sz w:val="20"/>
                <w:szCs w:val="20"/>
              </w:rPr>
              <w:t>362</w:t>
            </w:r>
            <w:r>
              <w:rPr>
                <w:rFonts w:hint="eastAsia" w:ascii="仿宋_GB2312" w:hAnsi="宋体" w:eastAsia="仿宋_GB2312" w:cs="宋体"/>
                <w:color w:val="auto"/>
                <w:kern w:val="0"/>
                <w:sz w:val="20"/>
                <w:szCs w:val="20"/>
              </w:rPr>
              <w:t>台（套）</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2014-2016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中航电测新型传感器开发及产品升级改造工程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对目前所有生产线进行智能化升级改造，建设研发、办公配套设施。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开发区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洋县钒钛磁铁矿金属冶炼工程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300</w:t>
            </w:r>
            <w:r>
              <w:rPr>
                <w:rFonts w:hint="eastAsia" w:ascii="仿宋_GB2312" w:hAnsi="宋体" w:eastAsia="仿宋_GB2312" w:cs="宋体"/>
                <w:color w:val="auto"/>
                <w:kern w:val="0"/>
                <w:sz w:val="20"/>
                <w:szCs w:val="20"/>
              </w:rPr>
              <w:t>万吨铁精粉、</w:t>
            </w:r>
            <w:r>
              <w:rPr>
                <w:rFonts w:eastAsia="仿宋_GB2312"/>
                <w:color w:val="auto"/>
                <w:kern w:val="0"/>
                <w:sz w:val="20"/>
                <w:szCs w:val="20"/>
              </w:rPr>
              <w:t>40</w:t>
            </w:r>
            <w:r>
              <w:rPr>
                <w:rFonts w:hint="eastAsia" w:ascii="仿宋_GB2312" w:hAnsi="宋体" w:eastAsia="仿宋_GB2312" w:cs="宋体"/>
                <w:color w:val="auto"/>
                <w:kern w:val="0"/>
                <w:sz w:val="20"/>
                <w:szCs w:val="20"/>
              </w:rPr>
              <w:t>万吨钛精粉、</w:t>
            </w:r>
            <w:r>
              <w:rPr>
                <w:rFonts w:eastAsia="仿宋_GB2312"/>
                <w:color w:val="auto"/>
                <w:kern w:val="0"/>
                <w:sz w:val="20"/>
                <w:szCs w:val="20"/>
              </w:rPr>
              <w:t>20</w:t>
            </w:r>
            <w:r>
              <w:rPr>
                <w:rFonts w:hint="eastAsia" w:ascii="仿宋_GB2312" w:hAnsi="宋体" w:eastAsia="仿宋_GB2312" w:cs="宋体"/>
                <w:color w:val="auto"/>
                <w:kern w:val="0"/>
                <w:sz w:val="20"/>
                <w:szCs w:val="20"/>
              </w:rPr>
              <w:t>万吨海绵铁、</w:t>
            </w:r>
            <w:r>
              <w:rPr>
                <w:rFonts w:eastAsia="仿宋_GB2312"/>
                <w:color w:val="auto"/>
                <w:kern w:val="0"/>
                <w:sz w:val="20"/>
                <w:szCs w:val="20"/>
              </w:rPr>
              <w:t>15</w:t>
            </w:r>
            <w:r>
              <w:rPr>
                <w:rFonts w:hint="eastAsia" w:ascii="仿宋_GB2312" w:hAnsi="宋体" w:eastAsia="仿宋_GB2312" w:cs="宋体"/>
                <w:color w:val="auto"/>
                <w:kern w:val="0"/>
                <w:sz w:val="20"/>
                <w:szCs w:val="20"/>
              </w:rPr>
              <w:t>万吨钛白粉、</w:t>
            </w:r>
            <w:r>
              <w:rPr>
                <w:rFonts w:eastAsia="仿宋_GB2312"/>
                <w:color w:val="auto"/>
                <w:kern w:val="0"/>
                <w:sz w:val="20"/>
                <w:szCs w:val="20"/>
              </w:rPr>
              <w:t>3</w:t>
            </w:r>
            <w:r>
              <w:rPr>
                <w:rFonts w:hint="eastAsia" w:ascii="仿宋_GB2312" w:hAnsi="宋体" w:eastAsia="仿宋_GB2312" w:cs="宋体"/>
                <w:color w:val="auto"/>
                <w:kern w:val="0"/>
                <w:sz w:val="20"/>
                <w:szCs w:val="20"/>
              </w:rPr>
              <w:t>万吨海绵钛、</w:t>
            </w:r>
            <w:r>
              <w:rPr>
                <w:rFonts w:eastAsia="仿宋_GB2312"/>
                <w:color w:val="auto"/>
                <w:kern w:val="0"/>
                <w:sz w:val="20"/>
                <w:szCs w:val="20"/>
              </w:rPr>
              <w:t>10</w:t>
            </w:r>
            <w:r>
              <w:rPr>
                <w:rFonts w:hint="eastAsia" w:ascii="仿宋_GB2312" w:hAnsi="宋体" w:eastAsia="仿宋_GB2312" w:cs="宋体"/>
                <w:color w:val="auto"/>
                <w:kern w:val="0"/>
                <w:sz w:val="20"/>
                <w:szCs w:val="20"/>
              </w:rPr>
              <w:t>万吨工业硅、</w:t>
            </w:r>
            <w:r>
              <w:rPr>
                <w:rFonts w:eastAsia="仿宋_GB2312"/>
                <w:color w:val="auto"/>
                <w:kern w:val="0"/>
                <w:sz w:val="20"/>
                <w:szCs w:val="20"/>
              </w:rPr>
              <w:t>3</w:t>
            </w:r>
            <w:r>
              <w:rPr>
                <w:rFonts w:hint="eastAsia" w:ascii="仿宋_GB2312" w:hAnsi="宋体" w:eastAsia="仿宋_GB2312" w:cs="宋体"/>
                <w:color w:val="auto"/>
                <w:kern w:val="0"/>
                <w:sz w:val="20"/>
                <w:szCs w:val="20"/>
              </w:rPr>
              <w:t>万吨金属钙项目，建设年综合利用尾矿渣</w:t>
            </w:r>
            <w:r>
              <w:rPr>
                <w:rFonts w:eastAsia="仿宋_GB2312"/>
                <w:color w:val="auto"/>
                <w:kern w:val="0"/>
                <w:sz w:val="20"/>
                <w:szCs w:val="20"/>
              </w:rPr>
              <w:t>200</w:t>
            </w:r>
            <w:r>
              <w:rPr>
                <w:rFonts w:hint="eastAsia" w:ascii="仿宋_GB2312" w:hAnsi="宋体" w:eastAsia="仿宋_GB2312" w:cs="宋体"/>
                <w:color w:val="auto"/>
                <w:kern w:val="0"/>
                <w:sz w:val="20"/>
                <w:szCs w:val="20"/>
              </w:rPr>
              <w:t>万吨生产线</w:t>
            </w:r>
            <w:r>
              <w:rPr>
                <w:rFonts w:eastAsia="仿宋_GB2312"/>
                <w:color w:val="auto"/>
                <w:kern w:val="0"/>
                <w:sz w:val="20"/>
                <w:szCs w:val="20"/>
              </w:rPr>
              <w:t>1</w:t>
            </w:r>
            <w:r>
              <w:rPr>
                <w:rFonts w:hint="eastAsia" w:ascii="仿宋_GB2312" w:hAnsi="宋体" w:eastAsia="仿宋_GB2312" w:cs="宋体"/>
                <w:color w:val="auto"/>
                <w:kern w:val="0"/>
                <w:sz w:val="20"/>
                <w:szCs w:val="20"/>
              </w:rPr>
              <w:t>条。配套建设总库容</w:t>
            </w:r>
            <w:r>
              <w:rPr>
                <w:rFonts w:eastAsia="仿宋_GB2312"/>
                <w:color w:val="auto"/>
                <w:kern w:val="0"/>
                <w:sz w:val="20"/>
                <w:szCs w:val="20"/>
              </w:rPr>
              <w:t>9845</w:t>
            </w:r>
            <w:r>
              <w:rPr>
                <w:rFonts w:hint="eastAsia" w:ascii="仿宋_GB2312" w:hAnsi="宋体" w:eastAsia="仿宋_GB2312" w:cs="宋体"/>
                <w:color w:val="auto"/>
                <w:kern w:val="0"/>
                <w:sz w:val="20"/>
                <w:szCs w:val="20"/>
              </w:rPr>
              <w:t>万立方米菜田沟尾矿库</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2013-2020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陕钢汉中特种钢生产线</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研发复杂刀具专业特种钢材、齿轮加工专用特种钢材、飞机制造用特种航空材料和飞机蒙皮特种合金材料，为汉中飞机制造企业提供专用飞机制造用特种钢材、蒙皮用特种铝合金材料和齿轮制造企业提供专用齿轮加工材料。</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勉县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2019-2020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45</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略阳纳米碳酸钙生产线</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项目分为煤制气系统、石灰制备系统和纳米碳酸钙生产系统。建成后年产</w:t>
            </w:r>
            <w:r>
              <w:rPr>
                <w:rFonts w:eastAsia="仿宋_GB2312"/>
                <w:color w:val="auto"/>
                <w:kern w:val="0"/>
                <w:sz w:val="20"/>
                <w:szCs w:val="20"/>
              </w:rPr>
              <w:t>20</w:t>
            </w:r>
            <w:r>
              <w:rPr>
                <w:rFonts w:hint="eastAsia" w:ascii="仿宋_GB2312" w:hAnsi="宋体" w:eastAsia="仿宋_GB2312" w:cs="宋体"/>
                <w:color w:val="auto"/>
                <w:kern w:val="0"/>
                <w:sz w:val="20"/>
                <w:szCs w:val="20"/>
              </w:rPr>
              <w:t>万吨纳米碳酸钙、</w:t>
            </w:r>
            <w:r>
              <w:rPr>
                <w:rFonts w:eastAsia="仿宋_GB2312"/>
                <w:color w:val="auto"/>
                <w:kern w:val="0"/>
                <w:sz w:val="20"/>
                <w:szCs w:val="20"/>
              </w:rPr>
              <w:t>7</w:t>
            </w:r>
            <w:r>
              <w:rPr>
                <w:rFonts w:hint="eastAsia" w:ascii="仿宋_GB2312" w:hAnsi="宋体" w:eastAsia="仿宋_GB2312" w:cs="宋体"/>
                <w:color w:val="auto"/>
                <w:kern w:val="0"/>
                <w:sz w:val="20"/>
                <w:szCs w:val="20"/>
              </w:rPr>
              <w:t>万吨食品级的二氧化碳</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略阳县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城固同盛泰高端建筑陶瓷生产基地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以城固县丰富的钾长石、高岭土、石英石资源作为合作基础，投入资金、设备、技术、管理为要件投资资源型加工企业，在五郎工业园区建设高端建筑陶瓷生产基地项目</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商南重晶石精粉加工生产线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建设石英沙、硅微粉、微晶板材及年产</w:t>
            </w:r>
            <w:r>
              <w:rPr>
                <w:rFonts w:eastAsia="仿宋_GB2312"/>
                <w:color w:val="auto"/>
                <w:kern w:val="0"/>
                <w:sz w:val="20"/>
                <w:szCs w:val="20"/>
              </w:rPr>
              <w:t>20</w:t>
            </w:r>
            <w:r>
              <w:rPr>
                <w:rFonts w:hint="eastAsia" w:ascii="仿宋_GB2312" w:hAnsi="宋体" w:eastAsia="仿宋_GB2312" w:cs="宋体"/>
                <w:color w:val="auto"/>
                <w:kern w:val="0"/>
                <w:sz w:val="20"/>
                <w:szCs w:val="20"/>
              </w:rPr>
              <w:t>万吨重金石深加工湿法生产线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汉中佳润泽公司石英砂生产线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主要建设</w:t>
            </w:r>
            <w:r>
              <w:rPr>
                <w:rFonts w:eastAsia="仿宋_GB2312"/>
                <w:color w:val="auto"/>
                <w:kern w:val="0"/>
                <w:sz w:val="20"/>
                <w:szCs w:val="20"/>
              </w:rPr>
              <w:t>20</w:t>
            </w:r>
            <w:r>
              <w:rPr>
                <w:rFonts w:hint="eastAsia" w:ascii="仿宋_GB2312" w:hAnsi="宋体" w:eastAsia="仿宋_GB2312" w:cs="宋体"/>
                <w:color w:val="auto"/>
                <w:kern w:val="0"/>
                <w:sz w:val="20"/>
                <w:szCs w:val="20"/>
              </w:rPr>
              <w:t>万吨光伏玻璃用低铁石英砂生产线，附属建设</w:t>
            </w:r>
            <w:r>
              <w:rPr>
                <w:rFonts w:eastAsia="仿宋_GB2312"/>
                <w:color w:val="auto"/>
                <w:kern w:val="0"/>
                <w:sz w:val="20"/>
                <w:szCs w:val="20"/>
              </w:rPr>
              <w:t>5</w:t>
            </w:r>
            <w:r>
              <w:rPr>
                <w:rFonts w:hint="eastAsia" w:ascii="仿宋_GB2312" w:hAnsi="宋体" w:eastAsia="仿宋_GB2312" w:cs="宋体"/>
                <w:color w:val="auto"/>
                <w:kern w:val="0"/>
                <w:sz w:val="20"/>
                <w:szCs w:val="20"/>
              </w:rPr>
              <w:t>万吨普通玻璃用石英砂生产线及其配套设施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洋县中药材精细加工基地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规划用地</w:t>
            </w:r>
            <w:r>
              <w:rPr>
                <w:rFonts w:eastAsia="仿宋_GB2312"/>
                <w:color w:val="auto"/>
                <w:kern w:val="0"/>
                <w:sz w:val="20"/>
                <w:szCs w:val="20"/>
              </w:rPr>
              <w:t>200</w:t>
            </w:r>
            <w:r>
              <w:rPr>
                <w:rFonts w:hint="eastAsia" w:ascii="仿宋_GB2312" w:hAnsi="宋体" w:eastAsia="仿宋_GB2312" w:cs="宋体"/>
                <w:color w:val="auto"/>
                <w:kern w:val="0"/>
                <w:sz w:val="20"/>
                <w:szCs w:val="20"/>
              </w:rPr>
              <w:t>亩，新建中药饮片生产线和中药材仓储中心，完成行政办公楼及配套基础设施建设项目</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洋县铁精粉及钛精粉试验示范工程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250</w:t>
            </w:r>
            <w:r>
              <w:rPr>
                <w:rFonts w:hint="eastAsia" w:ascii="仿宋_GB2312" w:hAnsi="宋体" w:eastAsia="仿宋_GB2312" w:cs="宋体"/>
                <w:color w:val="auto"/>
                <w:kern w:val="0"/>
                <w:sz w:val="20"/>
                <w:szCs w:val="20"/>
              </w:rPr>
              <w:t>万吨铁精粉、</w:t>
            </w:r>
            <w:r>
              <w:rPr>
                <w:rFonts w:eastAsia="仿宋_GB2312"/>
                <w:color w:val="auto"/>
                <w:kern w:val="0"/>
                <w:sz w:val="20"/>
                <w:szCs w:val="20"/>
              </w:rPr>
              <w:t>32</w:t>
            </w:r>
            <w:r>
              <w:rPr>
                <w:rFonts w:hint="eastAsia" w:ascii="仿宋_GB2312" w:hAnsi="宋体" w:eastAsia="仿宋_GB2312" w:cs="宋体"/>
                <w:color w:val="auto"/>
                <w:kern w:val="0"/>
                <w:sz w:val="20"/>
                <w:szCs w:val="20"/>
              </w:rPr>
              <w:t>万吨钛精粉生产线；在洋县良心河建设年产</w:t>
            </w:r>
            <w:r>
              <w:rPr>
                <w:rFonts w:eastAsia="仿宋_GB2312"/>
                <w:color w:val="auto"/>
                <w:kern w:val="0"/>
                <w:sz w:val="20"/>
                <w:szCs w:val="20"/>
              </w:rPr>
              <w:t>50</w:t>
            </w:r>
            <w:r>
              <w:rPr>
                <w:rFonts w:hint="eastAsia" w:ascii="仿宋_GB2312" w:hAnsi="宋体" w:eastAsia="仿宋_GB2312" w:cs="宋体"/>
                <w:color w:val="auto"/>
                <w:kern w:val="0"/>
                <w:sz w:val="20"/>
                <w:szCs w:val="20"/>
              </w:rPr>
              <w:t>万吨铁精粉、</w:t>
            </w:r>
            <w:r>
              <w:rPr>
                <w:rFonts w:eastAsia="仿宋_GB2312"/>
                <w:color w:val="auto"/>
                <w:kern w:val="0"/>
                <w:sz w:val="20"/>
                <w:szCs w:val="20"/>
              </w:rPr>
              <w:t>8</w:t>
            </w:r>
            <w:r>
              <w:rPr>
                <w:rFonts w:hint="eastAsia" w:ascii="仿宋_GB2312" w:hAnsi="宋体" w:eastAsia="仿宋_GB2312" w:cs="宋体"/>
                <w:color w:val="auto"/>
                <w:kern w:val="0"/>
                <w:sz w:val="20"/>
                <w:szCs w:val="20"/>
              </w:rPr>
              <w:t>万吨钛精粉生产线及配套设施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洋县钛白粉生产线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w:t>
            </w:r>
            <w:r>
              <w:rPr>
                <w:rFonts w:eastAsia="仿宋_GB2312"/>
                <w:color w:val="auto"/>
                <w:kern w:val="0"/>
                <w:sz w:val="20"/>
                <w:szCs w:val="20"/>
              </w:rPr>
              <w:t>15</w:t>
            </w:r>
            <w:r>
              <w:rPr>
                <w:rFonts w:hint="eastAsia" w:ascii="仿宋_GB2312" w:hAnsi="宋体" w:eastAsia="仿宋_GB2312" w:cs="宋体"/>
                <w:color w:val="auto"/>
                <w:kern w:val="0"/>
                <w:sz w:val="20"/>
                <w:szCs w:val="20"/>
              </w:rPr>
              <w:t>万吨钛白粉生产线，具体包括四氯化钛的制备及精致、氧化剂后处理三个工段，建设沸腾氯化炉、氧化反应器及配套设施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汉中宝玉石产业园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规划用地</w:t>
            </w:r>
            <w:r>
              <w:rPr>
                <w:rFonts w:eastAsia="仿宋_GB2312"/>
                <w:color w:val="auto"/>
                <w:kern w:val="0"/>
                <w:sz w:val="20"/>
                <w:szCs w:val="20"/>
              </w:rPr>
              <w:t>300</w:t>
            </w:r>
            <w:r>
              <w:rPr>
                <w:rFonts w:hint="eastAsia" w:ascii="仿宋_GB2312" w:hAnsi="宋体" w:eastAsia="仿宋_GB2312" w:cs="宋体"/>
                <w:color w:val="auto"/>
                <w:kern w:val="0"/>
                <w:sz w:val="20"/>
                <w:szCs w:val="20"/>
              </w:rPr>
              <w:t>亩，建设加工车间、宝玉石展厅、产业园生态酒店、奇石园、材料交易区、商销区及多功能配套设施等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南郑县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西乡花岗岩资源循环利用工程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建成年产</w:t>
            </w:r>
            <w:r>
              <w:rPr>
                <w:rFonts w:eastAsia="仿宋_GB2312"/>
                <w:color w:val="auto"/>
                <w:kern w:val="0"/>
                <w:sz w:val="20"/>
                <w:szCs w:val="20"/>
              </w:rPr>
              <w:t>18.5</w:t>
            </w:r>
            <w:r>
              <w:rPr>
                <w:rFonts w:hint="eastAsia" w:ascii="仿宋_GB2312" w:hAnsi="宋体" w:eastAsia="仿宋_GB2312" w:cs="宋体"/>
                <w:color w:val="auto"/>
                <w:kern w:val="0"/>
                <w:sz w:val="20"/>
                <w:szCs w:val="20"/>
              </w:rPr>
              <w:t>万立方米花岗岩、年产花岗岩板材</w:t>
            </w:r>
            <w:r>
              <w:rPr>
                <w:rFonts w:eastAsia="仿宋_GB2312"/>
                <w:color w:val="auto"/>
                <w:kern w:val="0"/>
                <w:sz w:val="20"/>
                <w:szCs w:val="20"/>
              </w:rPr>
              <w:t>60</w:t>
            </w:r>
            <w:r>
              <w:rPr>
                <w:rFonts w:hint="eastAsia" w:ascii="仿宋_GB2312" w:hAnsi="宋体" w:eastAsia="仿宋_GB2312" w:cs="宋体"/>
                <w:color w:val="auto"/>
                <w:kern w:val="0"/>
                <w:sz w:val="20"/>
                <w:szCs w:val="20"/>
              </w:rPr>
              <w:t>万平方米、综合利用花岗岩废渣建设年产铁精粉</w:t>
            </w:r>
            <w:r>
              <w:rPr>
                <w:rFonts w:eastAsia="仿宋_GB2312"/>
                <w:color w:val="auto"/>
                <w:kern w:val="0"/>
                <w:sz w:val="20"/>
                <w:szCs w:val="20"/>
              </w:rPr>
              <w:t>124</w:t>
            </w:r>
            <w:r>
              <w:rPr>
                <w:rFonts w:hint="eastAsia" w:ascii="仿宋_GB2312" w:hAnsi="宋体" w:eastAsia="仿宋_GB2312" w:cs="宋体"/>
                <w:color w:val="auto"/>
                <w:kern w:val="0"/>
                <w:sz w:val="20"/>
                <w:szCs w:val="20"/>
              </w:rPr>
              <w:t>万吨、石英板</w:t>
            </w:r>
            <w:r>
              <w:rPr>
                <w:rFonts w:eastAsia="仿宋_GB2312"/>
                <w:color w:val="auto"/>
                <w:kern w:val="0"/>
                <w:sz w:val="20"/>
                <w:szCs w:val="20"/>
              </w:rPr>
              <w:t>20</w:t>
            </w:r>
            <w:r>
              <w:rPr>
                <w:rFonts w:hint="eastAsia" w:ascii="仿宋_GB2312" w:hAnsi="宋体" w:eastAsia="仿宋_GB2312" w:cs="宋体"/>
                <w:color w:val="auto"/>
                <w:kern w:val="0"/>
                <w:sz w:val="20"/>
                <w:szCs w:val="20"/>
              </w:rPr>
              <w:t>万平方米及</w:t>
            </w:r>
            <w:r>
              <w:rPr>
                <w:rFonts w:eastAsia="仿宋_GB2312"/>
                <w:color w:val="auto"/>
                <w:kern w:val="0"/>
                <w:sz w:val="20"/>
                <w:szCs w:val="20"/>
              </w:rPr>
              <w:t>20</w:t>
            </w:r>
            <w:r>
              <w:rPr>
                <w:rFonts w:hint="eastAsia" w:ascii="仿宋_GB2312" w:hAnsi="宋体" w:eastAsia="仿宋_GB2312" w:cs="宋体"/>
                <w:color w:val="auto"/>
                <w:kern w:val="0"/>
                <w:sz w:val="20"/>
                <w:szCs w:val="20"/>
              </w:rPr>
              <w:t>万平方米彩晶板生产线，实施尾渣干堆干排，土地复垦</w:t>
            </w:r>
            <w:r>
              <w:rPr>
                <w:rFonts w:eastAsia="仿宋_GB2312"/>
                <w:color w:val="auto"/>
                <w:kern w:val="0"/>
                <w:sz w:val="20"/>
                <w:szCs w:val="20"/>
              </w:rPr>
              <w:t>3260</w:t>
            </w:r>
            <w:r>
              <w:rPr>
                <w:rFonts w:hint="eastAsia" w:ascii="仿宋_GB2312" w:hAnsi="宋体" w:eastAsia="仿宋_GB2312" w:cs="宋体"/>
                <w:color w:val="auto"/>
                <w:kern w:val="0"/>
                <w:sz w:val="20"/>
                <w:szCs w:val="20"/>
              </w:rPr>
              <w:t>亩及附属设施建设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西乡县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2011-2020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西乡能源化工产业园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利用临近镇巴开发油气开发之有利条件，规划占地</w:t>
            </w:r>
            <w:r>
              <w:rPr>
                <w:rFonts w:eastAsia="仿宋_GB2312"/>
                <w:color w:val="auto"/>
                <w:kern w:val="0"/>
                <w:sz w:val="20"/>
                <w:szCs w:val="20"/>
              </w:rPr>
              <w:t>5000</w:t>
            </w:r>
            <w:r>
              <w:rPr>
                <w:rFonts w:hint="eastAsia" w:ascii="仿宋_GB2312" w:hAnsi="宋体" w:eastAsia="仿宋_GB2312" w:cs="宋体"/>
                <w:color w:val="auto"/>
                <w:kern w:val="0"/>
                <w:sz w:val="20"/>
                <w:szCs w:val="20"/>
              </w:rPr>
              <w:t>亩，新建以油气、风电等新能源开发化工为主的陕南能源化工基地</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西乡县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略钢优特钢改造工程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实施设备更新、附属建设和改扩建等综合项目，形成年产</w:t>
            </w:r>
            <w:r>
              <w:rPr>
                <w:rFonts w:eastAsia="仿宋_GB2312"/>
                <w:color w:val="auto"/>
                <w:kern w:val="0"/>
                <w:sz w:val="20"/>
                <w:szCs w:val="20"/>
              </w:rPr>
              <w:t>100</w:t>
            </w:r>
            <w:r>
              <w:rPr>
                <w:rFonts w:hint="eastAsia" w:ascii="仿宋_GB2312" w:hAnsi="宋体" w:eastAsia="仿宋_GB2312" w:cs="宋体"/>
                <w:color w:val="auto"/>
                <w:kern w:val="0"/>
                <w:sz w:val="20"/>
                <w:szCs w:val="20"/>
              </w:rPr>
              <w:t>万吨优质钢材生产能力</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略阳县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56</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汉中经济开发区创智工业园</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建设道路</w:t>
            </w:r>
            <w:r>
              <w:rPr>
                <w:rFonts w:eastAsia="仿宋_GB2312"/>
                <w:color w:val="auto"/>
                <w:kern w:val="0"/>
                <w:sz w:val="20"/>
                <w:szCs w:val="20"/>
              </w:rPr>
              <w:t>17</w:t>
            </w:r>
            <w:r>
              <w:rPr>
                <w:rFonts w:hint="eastAsia" w:ascii="仿宋_GB2312" w:hAnsi="宋体" w:eastAsia="仿宋_GB2312" w:cs="宋体"/>
                <w:color w:val="auto"/>
                <w:kern w:val="0"/>
                <w:sz w:val="20"/>
                <w:szCs w:val="20"/>
              </w:rPr>
              <w:t>条，建成以机械加工、食品医药、农副产品深加工、电子电器设备生产、仓储物流等产业为主现代化的标准化厂房</w:t>
            </w:r>
            <w:r>
              <w:rPr>
                <w:rFonts w:eastAsia="仿宋_GB2312"/>
                <w:color w:val="auto"/>
                <w:kern w:val="0"/>
                <w:sz w:val="20"/>
                <w:szCs w:val="20"/>
              </w:rPr>
              <w:t>5</w:t>
            </w:r>
            <w:r>
              <w:rPr>
                <w:rFonts w:hint="eastAsia" w:ascii="仿宋_GB2312" w:hAnsi="宋体" w:eastAsia="仿宋_GB2312" w:cs="宋体"/>
                <w:color w:val="auto"/>
                <w:kern w:val="0"/>
                <w:sz w:val="20"/>
                <w:szCs w:val="20"/>
              </w:rPr>
              <w:t>个</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开发区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23</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汉中珑津生物科技产业园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建设珑津生物科技产业园，园区建设包含科技研发中心、特色食品物流配送中心，茶籽油功能性产品生产中心，信息化服务中心及其配套设施。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开发区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平利干法氟化铝生产线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新建生产厂房</w:t>
            </w:r>
            <w:r>
              <w:rPr>
                <w:rFonts w:eastAsia="仿宋_GB2312"/>
                <w:color w:val="auto"/>
                <w:kern w:val="0"/>
                <w:sz w:val="20"/>
                <w:szCs w:val="20"/>
              </w:rPr>
              <w:t>1</w:t>
            </w:r>
            <w:r>
              <w:rPr>
                <w:rFonts w:hint="eastAsia" w:ascii="仿宋_GB2312" w:hAnsi="宋体" w:eastAsia="仿宋_GB2312" w:cs="宋体"/>
                <w:color w:val="auto"/>
                <w:kern w:val="0"/>
                <w:sz w:val="20"/>
                <w:szCs w:val="20"/>
              </w:rPr>
              <w:t>万平方米，原料堆放棚</w:t>
            </w:r>
            <w:r>
              <w:rPr>
                <w:rFonts w:eastAsia="仿宋_GB2312"/>
                <w:color w:val="auto"/>
                <w:kern w:val="0"/>
                <w:sz w:val="20"/>
                <w:szCs w:val="20"/>
              </w:rPr>
              <w:t>5000</w:t>
            </w:r>
            <w:r>
              <w:rPr>
                <w:rFonts w:hint="eastAsia" w:ascii="仿宋_GB2312" w:hAnsi="宋体" w:eastAsia="仿宋_GB2312" w:cs="宋体"/>
                <w:color w:val="auto"/>
                <w:kern w:val="0"/>
                <w:sz w:val="20"/>
                <w:szCs w:val="20"/>
              </w:rPr>
              <w:t>平方米，成品仓库</w:t>
            </w:r>
            <w:r>
              <w:rPr>
                <w:rFonts w:eastAsia="仿宋_GB2312"/>
                <w:color w:val="auto"/>
                <w:kern w:val="0"/>
                <w:sz w:val="20"/>
                <w:szCs w:val="20"/>
              </w:rPr>
              <w:t>5100</w:t>
            </w:r>
            <w:r>
              <w:rPr>
                <w:rFonts w:hint="eastAsia" w:ascii="仿宋_GB2312" w:hAnsi="宋体" w:eastAsia="仿宋_GB2312" w:cs="宋体"/>
                <w:color w:val="auto"/>
                <w:kern w:val="0"/>
                <w:sz w:val="20"/>
                <w:szCs w:val="20"/>
              </w:rPr>
              <w:t>平方米，建设年产</w:t>
            </w:r>
            <w:r>
              <w:rPr>
                <w:rFonts w:eastAsia="仿宋_GB2312"/>
                <w:color w:val="auto"/>
                <w:kern w:val="0"/>
                <w:sz w:val="20"/>
                <w:szCs w:val="20"/>
              </w:rPr>
              <w:t>10</w:t>
            </w:r>
            <w:r>
              <w:rPr>
                <w:rFonts w:hint="eastAsia" w:ascii="仿宋_GB2312" w:hAnsi="宋体" w:eastAsia="仿宋_GB2312" w:cs="宋体"/>
                <w:color w:val="auto"/>
                <w:kern w:val="0"/>
                <w:sz w:val="20"/>
                <w:szCs w:val="20"/>
              </w:rPr>
              <w:t>万吨干法氟化铝生产线，购置安装生产设备</w:t>
            </w:r>
            <w:r>
              <w:rPr>
                <w:rFonts w:eastAsia="仿宋_GB2312"/>
                <w:color w:val="auto"/>
                <w:kern w:val="0"/>
                <w:sz w:val="20"/>
                <w:szCs w:val="20"/>
              </w:rPr>
              <w:t>184</w:t>
            </w:r>
            <w:r>
              <w:rPr>
                <w:rFonts w:hint="eastAsia" w:ascii="仿宋_GB2312" w:hAnsi="宋体" w:eastAsia="仿宋_GB2312" w:cs="宋体"/>
                <w:color w:val="auto"/>
                <w:kern w:val="0"/>
                <w:sz w:val="20"/>
                <w:szCs w:val="20"/>
              </w:rPr>
              <w:t>台套</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平利环保涂料工程（二期）</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新建标准化厂房</w:t>
            </w:r>
            <w:r>
              <w:rPr>
                <w:rFonts w:eastAsia="仿宋_GB2312"/>
                <w:color w:val="auto"/>
                <w:kern w:val="0"/>
                <w:sz w:val="20"/>
                <w:szCs w:val="20"/>
              </w:rPr>
              <w:t>4</w:t>
            </w:r>
            <w:r>
              <w:rPr>
                <w:rFonts w:hint="eastAsia" w:ascii="仿宋_GB2312" w:hAnsi="宋体" w:eastAsia="仿宋_GB2312" w:cs="宋体"/>
                <w:color w:val="auto"/>
                <w:kern w:val="0"/>
                <w:sz w:val="20"/>
                <w:szCs w:val="20"/>
              </w:rPr>
              <w:t>万平方米，建设特种硫酸钡、专用硫化碱及聚苯硫醚生产线各一条</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旬阳硅镁锌产业园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建设一条年产</w:t>
            </w:r>
            <w:r>
              <w:rPr>
                <w:rFonts w:eastAsia="仿宋_GB2312"/>
                <w:color w:val="auto"/>
                <w:kern w:val="0"/>
                <w:sz w:val="20"/>
                <w:szCs w:val="20"/>
              </w:rPr>
              <w:t>10</w:t>
            </w:r>
            <w:r>
              <w:rPr>
                <w:rFonts w:hint="eastAsia" w:ascii="仿宋_GB2312" w:hAnsi="宋体" w:eastAsia="仿宋_GB2312" w:cs="宋体"/>
                <w:color w:val="auto"/>
                <w:kern w:val="0"/>
                <w:sz w:val="20"/>
                <w:szCs w:val="20"/>
              </w:rPr>
              <w:t>万吨四高碳化硅，联产</w:t>
            </w:r>
            <w:r>
              <w:rPr>
                <w:rFonts w:eastAsia="仿宋_GB2312"/>
                <w:color w:val="auto"/>
                <w:kern w:val="0"/>
                <w:sz w:val="20"/>
                <w:szCs w:val="20"/>
              </w:rPr>
              <w:t>5</w:t>
            </w:r>
            <w:r>
              <w:rPr>
                <w:rFonts w:hint="eastAsia" w:ascii="仿宋_GB2312" w:hAnsi="宋体" w:eastAsia="仿宋_GB2312" w:cs="宋体"/>
                <w:color w:val="auto"/>
                <w:kern w:val="0"/>
                <w:sz w:val="20"/>
                <w:szCs w:val="20"/>
              </w:rPr>
              <w:t>万吨金属镁，副产</w:t>
            </w:r>
            <w:r>
              <w:rPr>
                <w:rFonts w:eastAsia="仿宋_GB2312"/>
                <w:color w:val="auto"/>
                <w:kern w:val="0"/>
                <w:sz w:val="20"/>
                <w:szCs w:val="20"/>
              </w:rPr>
              <w:t>50</w:t>
            </w:r>
            <w:r>
              <w:rPr>
                <w:rFonts w:hint="eastAsia" w:ascii="仿宋_GB2312" w:hAnsi="宋体" w:eastAsia="仿宋_GB2312" w:cs="宋体"/>
                <w:color w:val="auto"/>
                <w:kern w:val="0"/>
                <w:sz w:val="20"/>
                <w:szCs w:val="20"/>
              </w:rPr>
              <w:t>万吨水泥熟料，延伸磨料、技术陶瓷、镁合金产品，形成循环产业链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旬阳铜矿深加工生态工业园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依托旬阳县丰富的铜矿资源，以大型现代化有色金属铜冶炼为核心产业链，形成从</w:t>
            </w:r>
            <w:r>
              <w:rPr>
                <w:rFonts w:eastAsia="仿宋_GB2312"/>
                <w:color w:val="auto"/>
                <w:kern w:val="0"/>
                <w:sz w:val="20"/>
                <w:szCs w:val="20"/>
              </w:rPr>
              <w:t>“</w:t>
            </w:r>
            <w:r>
              <w:rPr>
                <w:rFonts w:hint="eastAsia" w:ascii="仿宋_GB2312" w:hAnsi="宋体" w:eastAsia="仿宋_GB2312" w:cs="宋体"/>
                <w:color w:val="auto"/>
                <w:kern w:val="0"/>
                <w:sz w:val="20"/>
                <w:szCs w:val="20"/>
              </w:rPr>
              <w:t>铜矿开采</w:t>
            </w:r>
            <w:r>
              <w:rPr>
                <w:rFonts w:eastAsia="仿宋_GB2312"/>
                <w:color w:val="auto"/>
                <w:kern w:val="0"/>
                <w:sz w:val="20"/>
                <w:szCs w:val="20"/>
              </w:rPr>
              <w:t>-</w:t>
            </w:r>
            <w:r>
              <w:rPr>
                <w:rFonts w:hint="eastAsia" w:ascii="仿宋_GB2312" w:hAnsi="宋体" w:eastAsia="仿宋_GB2312" w:cs="宋体"/>
                <w:color w:val="auto"/>
                <w:kern w:val="0"/>
                <w:sz w:val="20"/>
                <w:szCs w:val="20"/>
              </w:rPr>
              <w:t>资源再生</w:t>
            </w:r>
            <w:r>
              <w:rPr>
                <w:rFonts w:eastAsia="仿宋_GB2312"/>
                <w:color w:val="auto"/>
                <w:kern w:val="0"/>
                <w:sz w:val="20"/>
                <w:szCs w:val="20"/>
              </w:rPr>
              <w:t>/</w:t>
            </w:r>
            <w:r>
              <w:rPr>
                <w:rFonts w:hint="eastAsia" w:ascii="仿宋_GB2312" w:hAnsi="宋体" w:eastAsia="仿宋_GB2312" w:cs="宋体"/>
                <w:color w:val="auto"/>
                <w:kern w:val="0"/>
                <w:sz w:val="20"/>
                <w:szCs w:val="20"/>
              </w:rPr>
              <w:t>铜精矿</w:t>
            </w:r>
            <w:r>
              <w:rPr>
                <w:rFonts w:eastAsia="仿宋_GB2312"/>
                <w:color w:val="auto"/>
                <w:kern w:val="0"/>
                <w:sz w:val="20"/>
                <w:szCs w:val="20"/>
              </w:rPr>
              <w:t>-</w:t>
            </w:r>
            <w:r>
              <w:rPr>
                <w:rFonts w:hint="eastAsia" w:ascii="仿宋_GB2312" w:hAnsi="宋体" w:eastAsia="仿宋_GB2312" w:cs="宋体"/>
                <w:color w:val="auto"/>
                <w:kern w:val="0"/>
                <w:sz w:val="20"/>
                <w:szCs w:val="20"/>
              </w:rPr>
              <w:t>阳极铜</w:t>
            </w:r>
            <w:r>
              <w:rPr>
                <w:rFonts w:eastAsia="仿宋_GB2312"/>
                <w:color w:val="auto"/>
                <w:kern w:val="0"/>
                <w:sz w:val="20"/>
                <w:szCs w:val="20"/>
              </w:rPr>
              <w:t>-</w:t>
            </w:r>
            <w:r>
              <w:rPr>
                <w:rFonts w:hint="eastAsia" w:ascii="仿宋_GB2312" w:hAnsi="宋体" w:eastAsia="仿宋_GB2312" w:cs="宋体"/>
                <w:color w:val="auto"/>
                <w:kern w:val="0"/>
                <w:sz w:val="20"/>
                <w:szCs w:val="20"/>
              </w:rPr>
              <w:t>阴极铜</w:t>
            </w:r>
            <w:r>
              <w:rPr>
                <w:rFonts w:eastAsia="仿宋_GB2312"/>
                <w:color w:val="auto"/>
                <w:kern w:val="0"/>
                <w:sz w:val="20"/>
                <w:szCs w:val="20"/>
              </w:rPr>
              <w:t>-</w:t>
            </w:r>
            <w:r>
              <w:rPr>
                <w:rFonts w:hint="eastAsia" w:ascii="仿宋_GB2312" w:hAnsi="宋体" w:eastAsia="仿宋_GB2312" w:cs="宋体"/>
                <w:color w:val="auto"/>
                <w:kern w:val="0"/>
                <w:sz w:val="20"/>
                <w:szCs w:val="20"/>
              </w:rPr>
              <w:t>铜深加工</w:t>
            </w:r>
            <w:r>
              <w:rPr>
                <w:rFonts w:eastAsia="仿宋_GB2312"/>
                <w:color w:val="auto"/>
                <w:kern w:val="0"/>
                <w:sz w:val="20"/>
                <w:szCs w:val="20"/>
              </w:rPr>
              <w:t>/</w:t>
            </w:r>
            <w:r>
              <w:rPr>
                <w:rFonts w:hint="eastAsia" w:ascii="仿宋_GB2312" w:hAnsi="宋体" w:eastAsia="仿宋_GB2312" w:cs="宋体"/>
                <w:color w:val="auto"/>
                <w:kern w:val="0"/>
                <w:sz w:val="20"/>
                <w:szCs w:val="20"/>
              </w:rPr>
              <w:t>贵金属深加工</w:t>
            </w:r>
            <w:r>
              <w:rPr>
                <w:rFonts w:eastAsia="仿宋_GB2312"/>
                <w:color w:val="auto"/>
                <w:kern w:val="0"/>
                <w:sz w:val="20"/>
                <w:szCs w:val="20"/>
              </w:rPr>
              <w:t>”</w:t>
            </w:r>
            <w:r>
              <w:rPr>
                <w:rFonts w:hint="eastAsia" w:ascii="仿宋_GB2312" w:hAnsi="宋体" w:eastAsia="仿宋_GB2312" w:cs="宋体"/>
                <w:color w:val="auto"/>
                <w:kern w:val="0"/>
                <w:sz w:val="20"/>
                <w:szCs w:val="20"/>
              </w:rPr>
              <w:t>的全产业链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旬阳磁铁矿采选线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800</w:t>
            </w:r>
            <w:r>
              <w:rPr>
                <w:rFonts w:hint="eastAsia" w:ascii="仿宋_GB2312" w:hAnsi="宋体" w:eastAsia="仿宋_GB2312" w:cs="宋体"/>
                <w:color w:val="auto"/>
                <w:kern w:val="0"/>
                <w:sz w:val="20"/>
                <w:szCs w:val="20"/>
              </w:rPr>
              <w:t>万吨磁铁矿采选及深加工生产线，配套建设厂房、综合办公楼、生活服务等附属设施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2019-2021</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安康镍基复合材料生产线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建设以镍及镍合金为基体研发制造的，用于飞机、船舶、工业、车辆等最关键的高温部件生产线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安康高新区新型材料产业园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分三期建设年产</w:t>
            </w:r>
            <w:r>
              <w:rPr>
                <w:rFonts w:eastAsia="仿宋_GB2312"/>
                <w:color w:val="auto"/>
                <w:kern w:val="0"/>
                <w:sz w:val="20"/>
                <w:szCs w:val="20"/>
              </w:rPr>
              <w:t>10</w:t>
            </w:r>
            <w:r>
              <w:rPr>
                <w:rFonts w:hint="eastAsia" w:ascii="仿宋_GB2312" w:hAnsi="宋体" w:eastAsia="仿宋_GB2312" w:cs="宋体"/>
                <w:color w:val="auto"/>
                <w:kern w:val="0"/>
                <w:sz w:val="20"/>
                <w:szCs w:val="20"/>
              </w:rPr>
              <w:t>万吨金属镍、</w:t>
            </w:r>
            <w:r>
              <w:rPr>
                <w:rFonts w:eastAsia="仿宋_GB2312"/>
                <w:color w:val="auto"/>
                <w:kern w:val="0"/>
                <w:sz w:val="20"/>
                <w:szCs w:val="20"/>
              </w:rPr>
              <w:t>5000</w:t>
            </w:r>
            <w:r>
              <w:rPr>
                <w:rFonts w:hint="eastAsia" w:ascii="仿宋_GB2312" w:hAnsi="宋体" w:eastAsia="仿宋_GB2312" w:cs="宋体"/>
                <w:color w:val="auto"/>
                <w:kern w:val="0"/>
                <w:sz w:val="20"/>
                <w:szCs w:val="20"/>
              </w:rPr>
              <w:t>吨五氧化二钒、</w:t>
            </w:r>
            <w:r>
              <w:rPr>
                <w:rFonts w:eastAsia="仿宋_GB2312"/>
                <w:color w:val="auto"/>
                <w:kern w:val="0"/>
                <w:sz w:val="20"/>
                <w:szCs w:val="20"/>
              </w:rPr>
              <w:t>17000</w:t>
            </w:r>
            <w:r>
              <w:rPr>
                <w:rFonts w:hint="eastAsia" w:ascii="仿宋_GB2312" w:hAnsi="宋体" w:eastAsia="仿宋_GB2312" w:cs="宋体"/>
                <w:color w:val="auto"/>
                <w:kern w:val="0"/>
                <w:sz w:val="20"/>
                <w:szCs w:val="20"/>
              </w:rPr>
              <w:t>吨硫酸钾、钛合金、铅、锌、重晶石等新兴材料综合产业园</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汉中锦泰魔芋产业化开发工程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10</w:t>
            </w:r>
            <w:r>
              <w:rPr>
                <w:rFonts w:hint="eastAsia" w:ascii="仿宋_GB2312" w:hAnsi="宋体" w:eastAsia="仿宋_GB2312" w:cs="宋体"/>
                <w:color w:val="auto"/>
                <w:kern w:val="0"/>
                <w:sz w:val="20"/>
                <w:szCs w:val="20"/>
              </w:rPr>
              <w:t>万吨鲜魔芋初加工基地、魔芋精深加工基地、魔芋食品加工基地、魔芋保健品和药品加工基地、魔芋加工副产品综合利用生产基地</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平利绞股蓝科技产业园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新建绞股蓝基地</w:t>
            </w:r>
            <w:r>
              <w:rPr>
                <w:rFonts w:eastAsia="仿宋_GB2312"/>
                <w:color w:val="auto"/>
                <w:kern w:val="0"/>
                <w:sz w:val="20"/>
                <w:szCs w:val="20"/>
              </w:rPr>
              <w:t>10</w:t>
            </w:r>
            <w:r>
              <w:rPr>
                <w:rFonts w:hint="eastAsia" w:ascii="仿宋_GB2312" w:hAnsi="宋体" w:eastAsia="仿宋_GB2312" w:cs="宋体"/>
                <w:color w:val="auto"/>
                <w:kern w:val="0"/>
                <w:sz w:val="20"/>
                <w:szCs w:val="20"/>
              </w:rPr>
              <w:t>万亩，建清洁化加工厂</w:t>
            </w:r>
            <w:r>
              <w:rPr>
                <w:rFonts w:eastAsia="仿宋_GB2312"/>
                <w:color w:val="auto"/>
                <w:kern w:val="0"/>
                <w:sz w:val="20"/>
                <w:szCs w:val="20"/>
              </w:rPr>
              <w:t>1</w:t>
            </w:r>
            <w:r>
              <w:rPr>
                <w:rFonts w:hint="eastAsia" w:ascii="仿宋_GB2312" w:hAnsi="宋体" w:eastAsia="仿宋_GB2312" w:cs="宋体"/>
                <w:color w:val="auto"/>
                <w:kern w:val="0"/>
                <w:sz w:val="20"/>
                <w:szCs w:val="20"/>
              </w:rPr>
              <w:t>万平方米，富硒绞股蓝系列产品生产线</w:t>
            </w:r>
            <w:r>
              <w:rPr>
                <w:rFonts w:eastAsia="仿宋_GB2312"/>
                <w:color w:val="auto"/>
                <w:kern w:val="0"/>
                <w:sz w:val="20"/>
                <w:szCs w:val="20"/>
              </w:rPr>
              <w:t>5</w:t>
            </w:r>
            <w:r>
              <w:rPr>
                <w:rFonts w:hint="eastAsia" w:ascii="仿宋_GB2312" w:hAnsi="宋体" w:eastAsia="仿宋_GB2312" w:cs="宋体"/>
                <w:color w:val="auto"/>
                <w:kern w:val="0"/>
                <w:sz w:val="20"/>
                <w:szCs w:val="20"/>
              </w:rPr>
              <w:t>条，实施平利绞股蓝品牌建设和新品种研发培育</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安康富硒食品产业园</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建设年产有机魔芋精粉</w:t>
            </w:r>
            <w:r>
              <w:rPr>
                <w:rFonts w:eastAsia="仿宋_GB2312"/>
                <w:color w:val="auto"/>
                <w:kern w:val="0"/>
                <w:sz w:val="20"/>
                <w:szCs w:val="20"/>
              </w:rPr>
              <w:t>5000</w:t>
            </w:r>
            <w:r>
              <w:rPr>
                <w:rFonts w:hint="eastAsia" w:ascii="仿宋_GB2312" w:hAnsi="宋体" w:eastAsia="仿宋_GB2312" w:cs="宋体"/>
                <w:color w:val="auto"/>
                <w:kern w:val="0"/>
                <w:sz w:val="20"/>
                <w:szCs w:val="20"/>
              </w:rPr>
              <w:t>吨生产线，建魔芋米线、粉丝、仿生食品加工生产线</w:t>
            </w:r>
            <w:r>
              <w:rPr>
                <w:rFonts w:eastAsia="仿宋_GB2312"/>
                <w:color w:val="auto"/>
                <w:kern w:val="0"/>
                <w:sz w:val="20"/>
                <w:szCs w:val="20"/>
              </w:rPr>
              <w:t>2</w:t>
            </w:r>
            <w:r>
              <w:rPr>
                <w:rFonts w:hint="eastAsia" w:ascii="仿宋_GB2312" w:hAnsi="宋体" w:eastAsia="仿宋_GB2312" w:cs="宋体"/>
                <w:color w:val="auto"/>
                <w:kern w:val="0"/>
                <w:sz w:val="20"/>
                <w:szCs w:val="20"/>
              </w:rPr>
              <w:t>条、加工</w:t>
            </w:r>
            <w:r>
              <w:rPr>
                <w:rFonts w:eastAsia="仿宋_GB2312"/>
                <w:color w:val="auto"/>
                <w:kern w:val="0"/>
                <w:sz w:val="20"/>
                <w:szCs w:val="20"/>
              </w:rPr>
              <w:t>3</w:t>
            </w:r>
            <w:r>
              <w:rPr>
                <w:rFonts w:hint="eastAsia" w:ascii="仿宋_GB2312" w:hAnsi="宋体" w:eastAsia="仿宋_GB2312" w:cs="宋体"/>
                <w:color w:val="auto"/>
                <w:kern w:val="0"/>
                <w:sz w:val="20"/>
                <w:szCs w:val="20"/>
              </w:rPr>
              <w:t>亿粒刺五加魔芋胶囊，富硒魔芋新产品研发</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安康市恒口示范区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68</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紫阳富硒矿泉水生产线</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在双安、麻柳建设年产</w:t>
            </w:r>
            <w:r>
              <w:rPr>
                <w:rFonts w:eastAsia="仿宋_GB2312"/>
                <w:color w:val="auto"/>
                <w:kern w:val="0"/>
                <w:sz w:val="20"/>
                <w:szCs w:val="20"/>
              </w:rPr>
              <w:t>50</w:t>
            </w:r>
            <w:r>
              <w:rPr>
                <w:rFonts w:hint="eastAsia" w:ascii="仿宋_GB2312" w:hAnsi="宋体" w:eastAsia="仿宋_GB2312" w:cs="宋体"/>
                <w:color w:val="auto"/>
                <w:kern w:val="0"/>
                <w:sz w:val="20"/>
                <w:szCs w:val="20"/>
              </w:rPr>
              <w:t>万吨富硒矿泉水生产线、仓储物流中心及配套基础设施</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紫阳县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岚皋硒宝产业园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富硒应用技术研发、富硒农产品生产、富硒产品精细深加工、富硒商贸物流、科学补硒服务、富硒养生休闲服务等富硒全产业链开发</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岚皋县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西乡冷链物流脱水蔬菜生产线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10</w:t>
            </w:r>
            <w:r>
              <w:rPr>
                <w:rFonts w:hint="eastAsia" w:ascii="仿宋_GB2312" w:hAnsi="宋体" w:eastAsia="仿宋_GB2312" w:cs="宋体"/>
                <w:color w:val="auto"/>
                <w:kern w:val="0"/>
                <w:sz w:val="20"/>
                <w:szCs w:val="20"/>
              </w:rPr>
              <w:t>万立方米冷库、食品速冻、脱水蔬菜、速冻蔬菜、真空冷冻蔬菜、保鲜蔬菜、果蔬菜脆片及风味蔬菜包装罐头等蔬菜深加工食品生产线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西乡县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汉中德旺大鲵保健食品产业化开发工程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10</w:t>
            </w:r>
            <w:r>
              <w:rPr>
                <w:rFonts w:hint="eastAsia" w:ascii="仿宋_GB2312" w:hAnsi="宋体" w:eastAsia="仿宋_GB2312" w:cs="宋体"/>
                <w:color w:val="auto"/>
                <w:kern w:val="0"/>
                <w:sz w:val="20"/>
                <w:szCs w:val="20"/>
              </w:rPr>
              <w:t>万尾商品大鲵生产基地，研制、开发、生产大鲵系列养生保健食品</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平利富硒茶饮料生产线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新建产房</w:t>
            </w:r>
            <w:r>
              <w:rPr>
                <w:rFonts w:eastAsia="仿宋_GB2312"/>
                <w:color w:val="auto"/>
                <w:kern w:val="0"/>
                <w:sz w:val="20"/>
                <w:szCs w:val="20"/>
              </w:rPr>
              <w:t>1</w:t>
            </w:r>
            <w:r>
              <w:rPr>
                <w:rFonts w:hint="eastAsia" w:ascii="仿宋_GB2312" w:hAnsi="宋体" w:eastAsia="仿宋_GB2312" w:cs="宋体"/>
                <w:color w:val="auto"/>
                <w:kern w:val="0"/>
                <w:sz w:val="20"/>
                <w:szCs w:val="20"/>
              </w:rPr>
              <w:t>万平米，办公、宿舍等配套用房</w:t>
            </w:r>
            <w:r>
              <w:rPr>
                <w:rFonts w:eastAsia="仿宋_GB2312"/>
                <w:color w:val="auto"/>
                <w:kern w:val="0"/>
                <w:sz w:val="20"/>
                <w:szCs w:val="20"/>
              </w:rPr>
              <w:t>5000</w:t>
            </w:r>
            <w:r>
              <w:rPr>
                <w:rFonts w:hint="eastAsia" w:ascii="仿宋_GB2312" w:hAnsi="宋体" w:eastAsia="仿宋_GB2312" w:cs="宋体"/>
                <w:color w:val="auto"/>
                <w:kern w:val="0"/>
                <w:sz w:val="20"/>
                <w:szCs w:val="20"/>
              </w:rPr>
              <w:t>平米，购置安装加工设备，配套环保设施，建设富硒茶饮料生产线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2019-2020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安康富硒茶产业提升创新工程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开展富硒茶种苗工程建设、生态基地建设、茶叶园区建设、科技研究与推广工程、家庭农场即专业合作社培育、茶叶企业培育、品牌创建与物联网工程、茶叶市场体系建设和茶文化活动等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安康市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相关县区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44</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安康木本油料产业园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新发展木本油料</w:t>
            </w:r>
            <w:r>
              <w:rPr>
                <w:rFonts w:eastAsia="仿宋_GB2312"/>
                <w:color w:val="auto"/>
                <w:kern w:val="0"/>
                <w:sz w:val="20"/>
                <w:szCs w:val="20"/>
              </w:rPr>
              <w:t>75</w:t>
            </w:r>
            <w:r>
              <w:rPr>
                <w:rFonts w:hint="eastAsia" w:ascii="仿宋_GB2312" w:hAnsi="宋体" w:eastAsia="仿宋_GB2312" w:cs="宋体"/>
                <w:color w:val="auto"/>
                <w:kern w:val="0"/>
                <w:sz w:val="20"/>
                <w:szCs w:val="20"/>
              </w:rPr>
              <w:t>万亩，其中食用木本油料</w:t>
            </w:r>
            <w:r>
              <w:rPr>
                <w:rFonts w:eastAsia="仿宋_GB2312"/>
                <w:color w:val="auto"/>
                <w:kern w:val="0"/>
                <w:sz w:val="20"/>
                <w:szCs w:val="20"/>
              </w:rPr>
              <w:t>55</w:t>
            </w:r>
            <w:r>
              <w:rPr>
                <w:rFonts w:hint="eastAsia" w:ascii="仿宋_GB2312" w:hAnsi="宋体" w:eastAsia="仿宋_GB2312" w:cs="宋体"/>
                <w:color w:val="auto"/>
                <w:kern w:val="0"/>
                <w:sz w:val="20"/>
                <w:szCs w:val="20"/>
              </w:rPr>
              <w:t>万亩，</w:t>
            </w:r>
            <w:r>
              <w:rPr>
                <w:rFonts w:eastAsia="仿宋_GB2312"/>
                <w:color w:val="auto"/>
                <w:kern w:val="0"/>
                <w:sz w:val="20"/>
                <w:szCs w:val="20"/>
              </w:rPr>
              <w:t>(</w:t>
            </w:r>
            <w:r>
              <w:rPr>
                <w:rFonts w:hint="eastAsia" w:ascii="仿宋_GB2312" w:hAnsi="宋体" w:eastAsia="仿宋_GB2312" w:cs="宋体"/>
                <w:color w:val="auto"/>
                <w:kern w:val="0"/>
                <w:sz w:val="20"/>
                <w:szCs w:val="20"/>
              </w:rPr>
              <w:t>油用牡丹</w:t>
            </w:r>
            <w:r>
              <w:rPr>
                <w:rFonts w:eastAsia="仿宋_GB2312"/>
                <w:color w:val="auto"/>
                <w:kern w:val="0"/>
                <w:sz w:val="20"/>
                <w:szCs w:val="20"/>
              </w:rPr>
              <w:t>45</w:t>
            </w:r>
            <w:r>
              <w:rPr>
                <w:rFonts w:hint="eastAsia" w:ascii="仿宋_GB2312" w:hAnsi="宋体" w:eastAsia="仿宋_GB2312" w:cs="宋体"/>
                <w:color w:val="auto"/>
                <w:kern w:val="0"/>
                <w:sz w:val="20"/>
                <w:szCs w:val="20"/>
              </w:rPr>
              <w:t>万亩，油茶</w:t>
            </w:r>
            <w:r>
              <w:rPr>
                <w:rFonts w:eastAsia="仿宋_GB2312"/>
                <w:color w:val="auto"/>
                <w:kern w:val="0"/>
                <w:sz w:val="20"/>
                <w:szCs w:val="20"/>
              </w:rPr>
              <w:t>10</w:t>
            </w:r>
            <w:r>
              <w:rPr>
                <w:rFonts w:hint="eastAsia" w:ascii="仿宋_GB2312" w:hAnsi="宋体" w:eastAsia="仿宋_GB2312" w:cs="宋体"/>
                <w:color w:val="auto"/>
                <w:kern w:val="0"/>
                <w:sz w:val="20"/>
                <w:szCs w:val="20"/>
              </w:rPr>
              <w:t>万亩</w:t>
            </w:r>
            <w:r>
              <w:rPr>
                <w:rFonts w:eastAsia="仿宋_GB2312"/>
                <w:color w:val="auto"/>
                <w:kern w:val="0"/>
                <w:sz w:val="20"/>
                <w:szCs w:val="20"/>
              </w:rPr>
              <w:t>);</w:t>
            </w:r>
            <w:r>
              <w:rPr>
                <w:rFonts w:hint="eastAsia" w:ascii="仿宋_GB2312" w:hAnsi="宋体" w:eastAsia="仿宋_GB2312" w:cs="宋体"/>
                <w:color w:val="auto"/>
                <w:kern w:val="0"/>
                <w:sz w:val="20"/>
                <w:szCs w:val="20"/>
              </w:rPr>
              <w:t>新建工业木本油料面积</w:t>
            </w:r>
            <w:r>
              <w:rPr>
                <w:rFonts w:eastAsia="仿宋_GB2312"/>
                <w:color w:val="auto"/>
                <w:kern w:val="0"/>
                <w:sz w:val="20"/>
                <w:szCs w:val="20"/>
              </w:rPr>
              <w:t>20</w:t>
            </w:r>
            <w:r>
              <w:rPr>
                <w:rFonts w:hint="eastAsia" w:ascii="仿宋_GB2312" w:hAnsi="宋体" w:eastAsia="仿宋_GB2312" w:cs="宋体"/>
                <w:color w:val="auto"/>
                <w:kern w:val="0"/>
                <w:sz w:val="20"/>
                <w:szCs w:val="20"/>
              </w:rPr>
              <w:t>万亩（生漆</w:t>
            </w:r>
            <w:r>
              <w:rPr>
                <w:rFonts w:eastAsia="仿宋_GB2312"/>
                <w:color w:val="auto"/>
                <w:kern w:val="0"/>
                <w:sz w:val="20"/>
                <w:szCs w:val="20"/>
              </w:rPr>
              <w:t>10</w:t>
            </w:r>
            <w:r>
              <w:rPr>
                <w:rFonts w:hint="eastAsia" w:ascii="仿宋_GB2312" w:hAnsi="宋体" w:eastAsia="仿宋_GB2312" w:cs="宋体"/>
                <w:color w:val="auto"/>
                <w:kern w:val="0"/>
                <w:sz w:val="20"/>
                <w:szCs w:val="20"/>
              </w:rPr>
              <w:t>万亩，油桐</w:t>
            </w:r>
            <w:r>
              <w:rPr>
                <w:rFonts w:eastAsia="仿宋_GB2312"/>
                <w:color w:val="auto"/>
                <w:kern w:val="0"/>
                <w:sz w:val="20"/>
                <w:szCs w:val="20"/>
              </w:rPr>
              <w:t>10</w:t>
            </w:r>
            <w:r>
              <w:rPr>
                <w:rFonts w:hint="eastAsia" w:ascii="仿宋_GB2312" w:hAnsi="宋体" w:eastAsia="仿宋_GB2312" w:cs="宋体"/>
                <w:color w:val="auto"/>
                <w:kern w:val="0"/>
                <w:sz w:val="20"/>
                <w:szCs w:val="20"/>
              </w:rPr>
              <w:t>万亩），抚育改造</w:t>
            </w:r>
            <w:r>
              <w:rPr>
                <w:rFonts w:eastAsia="仿宋_GB2312"/>
                <w:color w:val="auto"/>
                <w:kern w:val="0"/>
                <w:sz w:val="20"/>
                <w:szCs w:val="20"/>
              </w:rPr>
              <w:t>170</w:t>
            </w:r>
            <w:r>
              <w:rPr>
                <w:rFonts w:hint="eastAsia" w:ascii="仿宋_GB2312" w:hAnsi="宋体" w:eastAsia="仿宋_GB2312" w:cs="宋体"/>
                <w:color w:val="auto"/>
                <w:kern w:val="0"/>
                <w:sz w:val="20"/>
                <w:szCs w:val="20"/>
              </w:rPr>
              <w:t>万亩</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石泉桑蚕文化园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蚕桑文化和旅游产业融合，延长蚕桑产业链，打造集桑园种植、蚕茧养殖参与；蚕桑加工观光；石泉农桑文化体验、蚕丝制品销售为一体的蚕桑文化园</w:t>
            </w:r>
            <w:r>
              <w:rPr>
                <w:rFonts w:eastAsia="仿宋_GB2312"/>
                <w:color w:val="auto"/>
                <w:kern w:val="0"/>
                <w:sz w:val="20"/>
                <w:szCs w:val="20"/>
              </w:rPr>
              <w:t>2</w:t>
            </w:r>
            <w:r>
              <w:rPr>
                <w:rFonts w:hint="eastAsia" w:ascii="仿宋_GB2312" w:hAnsi="宋体" w:eastAsia="仿宋_GB2312" w:cs="宋体"/>
                <w:color w:val="auto"/>
                <w:kern w:val="0"/>
                <w:sz w:val="20"/>
                <w:szCs w:val="20"/>
              </w:rPr>
              <w:t>处，暨杨柳新区、池河两地</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安康生物医药产业园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w:t>
            </w:r>
            <w:r>
              <w:rPr>
                <w:rFonts w:eastAsia="仿宋_GB2312"/>
                <w:color w:val="auto"/>
                <w:kern w:val="0"/>
                <w:sz w:val="20"/>
                <w:szCs w:val="20"/>
              </w:rPr>
              <w:t>1500</w:t>
            </w:r>
            <w:r>
              <w:rPr>
                <w:rFonts w:hint="eastAsia" w:ascii="仿宋_GB2312" w:hAnsi="宋体" w:eastAsia="仿宋_GB2312" w:cs="宋体"/>
                <w:color w:val="auto"/>
                <w:kern w:val="0"/>
                <w:sz w:val="20"/>
                <w:szCs w:val="20"/>
              </w:rPr>
              <w:t>亩，建设医药科研中心，化学合成原料药生产基地、生物制剂生产基地、针剂及输液生产基地等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安康北医大制药工程（二期）</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3.9</w:t>
            </w:r>
            <w:r>
              <w:rPr>
                <w:rFonts w:hint="eastAsia" w:ascii="仿宋_GB2312" w:hAnsi="宋体" w:eastAsia="仿宋_GB2312" w:cs="宋体"/>
                <w:color w:val="auto"/>
                <w:kern w:val="0"/>
                <w:sz w:val="20"/>
                <w:szCs w:val="20"/>
              </w:rPr>
              <w:t>万平方米的冻干粉针、生物制剂、小水针及</w:t>
            </w:r>
            <w:r>
              <w:rPr>
                <w:rFonts w:eastAsia="仿宋_GB2312"/>
                <w:color w:val="auto"/>
                <w:kern w:val="0"/>
                <w:sz w:val="20"/>
                <w:szCs w:val="20"/>
              </w:rPr>
              <w:t>7</w:t>
            </w:r>
            <w:r>
              <w:rPr>
                <w:rFonts w:hint="eastAsia" w:ascii="仿宋_GB2312" w:hAnsi="宋体" w:eastAsia="仿宋_GB2312" w:cs="宋体"/>
                <w:color w:val="auto"/>
                <w:kern w:val="0"/>
                <w:sz w:val="20"/>
                <w:szCs w:val="20"/>
              </w:rPr>
              <w:t>个药品</w:t>
            </w:r>
            <w:r>
              <w:rPr>
                <w:rFonts w:eastAsia="仿宋_GB2312"/>
                <w:color w:val="auto"/>
                <w:kern w:val="0"/>
                <w:sz w:val="20"/>
                <w:szCs w:val="20"/>
              </w:rPr>
              <w:t>GMP</w:t>
            </w:r>
            <w:r>
              <w:rPr>
                <w:rFonts w:hint="eastAsia" w:ascii="仿宋_GB2312" w:hAnsi="宋体" w:eastAsia="仿宋_GB2312" w:cs="宋体"/>
                <w:color w:val="auto"/>
                <w:kern w:val="0"/>
                <w:sz w:val="20"/>
                <w:szCs w:val="20"/>
              </w:rPr>
              <w:t>专用生产线，配套建设科研、实验室、动物实验房、辅助车间、公用工程、生物组培车间</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78</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旬阳中药材深加工及医药物流园</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建设医药物流园、新版</w:t>
            </w:r>
            <w:r>
              <w:rPr>
                <w:rFonts w:eastAsia="仿宋_GB2312"/>
                <w:color w:val="auto"/>
                <w:kern w:val="0"/>
                <w:sz w:val="20"/>
                <w:szCs w:val="20"/>
              </w:rPr>
              <w:t>GSP</w:t>
            </w:r>
            <w:r>
              <w:rPr>
                <w:rFonts w:hint="eastAsia" w:ascii="仿宋_GB2312" w:hAnsi="宋体" w:eastAsia="仿宋_GB2312" w:cs="宋体"/>
                <w:color w:val="auto"/>
                <w:kern w:val="0"/>
                <w:sz w:val="20"/>
                <w:szCs w:val="20"/>
              </w:rPr>
              <w:t>标准库房、道地中药材</w:t>
            </w:r>
            <w:r>
              <w:rPr>
                <w:rFonts w:eastAsia="仿宋_GB2312"/>
                <w:color w:val="auto"/>
                <w:kern w:val="0"/>
                <w:sz w:val="20"/>
                <w:szCs w:val="20"/>
              </w:rPr>
              <w:t>GAP</w:t>
            </w:r>
            <w:r>
              <w:rPr>
                <w:rFonts w:hint="eastAsia" w:ascii="仿宋_GB2312" w:hAnsi="宋体" w:eastAsia="仿宋_GB2312" w:cs="宋体"/>
                <w:color w:val="auto"/>
                <w:kern w:val="0"/>
                <w:sz w:val="20"/>
                <w:szCs w:val="20"/>
              </w:rPr>
              <w:t>标准化生产基地及中药材提取、生活用房等</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2015-2018</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紫阳富硒中药材产业园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新发展厚朴、云木香、黄柏、杜仲等中药材</w:t>
            </w:r>
            <w:r>
              <w:rPr>
                <w:rFonts w:eastAsia="仿宋_GB2312"/>
                <w:color w:val="auto"/>
                <w:kern w:val="0"/>
                <w:sz w:val="20"/>
                <w:szCs w:val="20"/>
              </w:rPr>
              <w:t>30</w:t>
            </w:r>
            <w:r>
              <w:rPr>
                <w:rFonts w:hint="eastAsia" w:ascii="仿宋_GB2312" w:hAnsi="宋体" w:eastAsia="仿宋_GB2312" w:cs="宋体"/>
                <w:color w:val="auto"/>
                <w:kern w:val="0"/>
                <w:sz w:val="20"/>
                <w:szCs w:val="20"/>
              </w:rPr>
              <w:t>万亩、药材园区</w:t>
            </w:r>
            <w:r>
              <w:rPr>
                <w:rFonts w:eastAsia="仿宋_GB2312"/>
                <w:color w:val="auto"/>
                <w:kern w:val="0"/>
                <w:sz w:val="20"/>
                <w:szCs w:val="20"/>
              </w:rPr>
              <w:t>8</w:t>
            </w:r>
            <w:r>
              <w:rPr>
                <w:rFonts w:hint="eastAsia" w:ascii="仿宋_GB2312" w:hAnsi="宋体" w:eastAsia="仿宋_GB2312" w:cs="宋体"/>
                <w:color w:val="auto"/>
                <w:kern w:val="0"/>
                <w:sz w:val="20"/>
                <w:szCs w:val="20"/>
              </w:rPr>
              <w:t>个、专业合作社</w:t>
            </w:r>
            <w:r>
              <w:rPr>
                <w:rFonts w:eastAsia="仿宋_GB2312"/>
                <w:color w:val="auto"/>
                <w:kern w:val="0"/>
                <w:sz w:val="20"/>
                <w:szCs w:val="20"/>
              </w:rPr>
              <w:t>20</w:t>
            </w:r>
            <w:r>
              <w:rPr>
                <w:rFonts w:hint="eastAsia" w:ascii="仿宋_GB2312" w:hAnsi="宋体" w:eastAsia="仿宋_GB2312" w:cs="宋体"/>
                <w:color w:val="auto"/>
                <w:kern w:val="0"/>
                <w:sz w:val="20"/>
                <w:szCs w:val="20"/>
              </w:rPr>
              <w:t>个</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紫阳县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石泉石墨生产线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6</w:t>
            </w:r>
            <w:r>
              <w:rPr>
                <w:rFonts w:hint="eastAsia" w:ascii="仿宋_GB2312" w:hAnsi="宋体" w:eastAsia="仿宋_GB2312" w:cs="宋体"/>
                <w:color w:val="auto"/>
                <w:kern w:val="0"/>
                <w:sz w:val="20"/>
                <w:szCs w:val="20"/>
              </w:rPr>
              <w:t>万吨核电石墨、</w:t>
            </w:r>
            <w:r>
              <w:rPr>
                <w:rFonts w:eastAsia="仿宋_GB2312"/>
                <w:color w:val="auto"/>
                <w:kern w:val="0"/>
                <w:sz w:val="20"/>
                <w:szCs w:val="20"/>
              </w:rPr>
              <w:t>4</w:t>
            </w:r>
            <w:r>
              <w:rPr>
                <w:rFonts w:hint="eastAsia" w:ascii="仿宋_GB2312" w:hAnsi="宋体" w:eastAsia="仿宋_GB2312" w:cs="宋体"/>
                <w:color w:val="auto"/>
                <w:kern w:val="0"/>
                <w:sz w:val="20"/>
                <w:szCs w:val="20"/>
              </w:rPr>
              <w:t>万吨石墨电极和</w:t>
            </w:r>
            <w:r>
              <w:rPr>
                <w:rFonts w:eastAsia="仿宋_GB2312"/>
                <w:color w:val="auto"/>
                <w:kern w:val="0"/>
                <w:sz w:val="20"/>
                <w:szCs w:val="20"/>
              </w:rPr>
              <w:t>2</w:t>
            </w:r>
            <w:r>
              <w:rPr>
                <w:rFonts w:hint="eastAsia" w:ascii="仿宋_GB2312" w:hAnsi="宋体" w:eastAsia="仿宋_GB2312" w:cs="宋体"/>
                <w:color w:val="auto"/>
                <w:kern w:val="0"/>
                <w:sz w:val="20"/>
                <w:szCs w:val="20"/>
              </w:rPr>
              <w:t>万吨石墨坩埚生产线及其配套设施</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安康池河循环产业园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建设新型干法水泥、粉煤灰蒸压砖、粉煤灰加气混凝土砌块、硅酸钙板、脱硫石膏粉体深加工、石膏砌块、以及混凝土路面砖与砌块等</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安康金矿勘查开发工程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开展金矿勘查，建设年开采黄金</w:t>
            </w:r>
            <w:r>
              <w:rPr>
                <w:rFonts w:eastAsia="仿宋_GB2312"/>
                <w:color w:val="auto"/>
                <w:kern w:val="0"/>
                <w:sz w:val="20"/>
                <w:szCs w:val="20"/>
              </w:rPr>
              <w:t>5</w:t>
            </w:r>
            <w:r>
              <w:rPr>
                <w:rFonts w:hint="eastAsia" w:ascii="仿宋_GB2312" w:hAnsi="宋体" w:eastAsia="仿宋_GB2312" w:cs="宋体"/>
                <w:color w:val="auto"/>
                <w:kern w:val="0"/>
                <w:sz w:val="20"/>
                <w:szCs w:val="20"/>
              </w:rPr>
              <w:t>吨生产线及其配套设施</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宁陕钼矿深加工生产线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开展钼矿勘查，建设钼条、钼饼、钼酸钙产品深加工生产线及其配套设施</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岚皋电解铜生产线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建设厂房</w:t>
            </w:r>
            <w:r>
              <w:rPr>
                <w:rFonts w:eastAsia="仿宋_GB2312"/>
                <w:color w:val="auto"/>
                <w:kern w:val="0"/>
                <w:sz w:val="20"/>
                <w:szCs w:val="20"/>
              </w:rPr>
              <w:t>10000</w:t>
            </w:r>
            <w:r>
              <w:rPr>
                <w:rFonts w:hint="eastAsia" w:ascii="仿宋_GB2312" w:hAnsi="宋体" w:eastAsia="仿宋_GB2312" w:cs="宋体"/>
                <w:color w:val="auto"/>
                <w:kern w:val="0"/>
                <w:sz w:val="20"/>
                <w:szCs w:val="20"/>
              </w:rPr>
              <w:t>平方米，建成年产</w:t>
            </w:r>
            <w:r>
              <w:rPr>
                <w:rFonts w:eastAsia="仿宋_GB2312"/>
                <w:color w:val="auto"/>
                <w:kern w:val="0"/>
                <w:sz w:val="20"/>
                <w:szCs w:val="20"/>
              </w:rPr>
              <w:t>10</w:t>
            </w:r>
            <w:r>
              <w:rPr>
                <w:rFonts w:hint="eastAsia" w:ascii="仿宋_GB2312" w:hAnsi="宋体" w:eastAsia="仿宋_GB2312" w:cs="宋体"/>
                <w:color w:val="auto"/>
                <w:kern w:val="0"/>
                <w:sz w:val="20"/>
                <w:szCs w:val="20"/>
              </w:rPr>
              <w:t>万吨电解铜和</w:t>
            </w:r>
            <w:r>
              <w:rPr>
                <w:rFonts w:eastAsia="仿宋_GB2312"/>
                <w:color w:val="auto"/>
                <w:kern w:val="0"/>
                <w:sz w:val="20"/>
                <w:szCs w:val="20"/>
              </w:rPr>
              <w:t>15</w:t>
            </w:r>
            <w:r>
              <w:rPr>
                <w:rFonts w:hint="eastAsia" w:ascii="仿宋_GB2312" w:hAnsi="宋体" w:eastAsia="仿宋_GB2312" w:cs="宋体"/>
                <w:color w:val="auto"/>
                <w:kern w:val="0"/>
                <w:sz w:val="20"/>
                <w:szCs w:val="20"/>
              </w:rPr>
              <w:t>万吨铜基合金材料生产线</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岚皋县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2018-2022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旬阳烟厂扩能技改工程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实施技改扩能，建设年产</w:t>
            </w:r>
            <w:r>
              <w:rPr>
                <w:rFonts w:eastAsia="仿宋_GB2312"/>
                <w:color w:val="auto"/>
                <w:kern w:val="0"/>
                <w:sz w:val="20"/>
                <w:szCs w:val="20"/>
              </w:rPr>
              <w:t>30</w:t>
            </w:r>
            <w:r>
              <w:rPr>
                <w:rFonts w:hint="eastAsia" w:ascii="仿宋_GB2312" w:hAnsi="宋体" w:eastAsia="仿宋_GB2312" w:cs="宋体"/>
                <w:color w:val="auto"/>
                <w:kern w:val="0"/>
                <w:sz w:val="20"/>
                <w:szCs w:val="20"/>
              </w:rPr>
              <w:t>万大箱卷烟生产线</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安康中小型农用设备制造工程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w:t>
            </w:r>
            <w:r>
              <w:rPr>
                <w:rFonts w:eastAsia="仿宋_GB2312"/>
                <w:color w:val="auto"/>
                <w:kern w:val="0"/>
                <w:sz w:val="20"/>
                <w:szCs w:val="20"/>
              </w:rPr>
              <w:t>200</w:t>
            </w:r>
            <w:r>
              <w:rPr>
                <w:rFonts w:hint="eastAsia" w:ascii="仿宋_GB2312" w:hAnsi="宋体" w:eastAsia="仿宋_GB2312" w:cs="宋体"/>
                <w:color w:val="auto"/>
                <w:kern w:val="0"/>
                <w:sz w:val="20"/>
                <w:szCs w:val="20"/>
              </w:rPr>
              <w:t>亩，建设中小型农用及自动化搬运设备生产线</w:t>
            </w:r>
            <w:r>
              <w:rPr>
                <w:rFonts w:eastAsia="仿宋_GB2312"/>
                <w:color w:val="auto"/>
                <w:kern w:val="0"/>
                <w:sz w:val="20"/>
                <w:szCs w:val="20"/>
              </w:rPr>
              <w:t>2</w:t>
            </w:r>
            <w:r>
              <w:rPr>
                <w:rFonts w:hint="eastAsia" w:ascii="仿宋_GB2312" w:hAnsi="宋体" w:eastAsia="仿宋_GB2312" w:cs="宋体"/>
                <w:color w:val="auto"/>
                <w:kern w:val="0"/>
                <w:sz w:val="20"/>
                <w:szCs w:val="20"/>
              </w:rPr>
              <w:t>条，包括生产车间、仓库、综合办公楼、职工宿舍楼</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安康高新区中山灯饰产业转移基地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规划用地</w:t>
            </w:r>
            <w:r>
              <w:rPr>
                <w:rFonts w:eastAsia="仿宋_GB2312"/>
                <w:color w:val="auto"/>
                <w:kern w:val="0"/>
                <w:sz w:val="20"/>
                <w:szCs w:val="20"/>
              </w:rPr>
              <w:t>1000</w:t>
            </w:r>
            <w:r>
              <w:rPr>
                <w:rFonts w:hint="eastAsia" w:ascii="仿宋_GB2312" w:hAnsi="宋体" w:eastAsia="仿宋_GB2312" w:cs="宋体"/>
                <w:color w:val="auto"/>
                <w:kern w:val="0"/>
                <w:sz w:val="20"/>
                <w:szCs w:val="20"/>
              </w:rPr>
              <w:t>亩，采用</w:t>
            </w:r>
            <w:r>
              <w:rPr>
                <w:rFonts w:eastAsia="仿宋_GB2312"/>
                <w:color w:val="auto"/>
                <w:kern w:val="0"/>
                <w:sz w:val="20"/>
                <w:szCs w:val="20"/>
              </w:rPr>
              <w:t>1+N</w:t>
            </w:r>
            <w:r>
              <w:rPr>
                <w:rFonts w:hint="eastAsia" w:ascii="仿宋_GB2312" w:hAnsi="宋体" w:eastAsia="仿宋_GB2312" w:cs="宋体"/>
                <w:color w:val="auto"/>
                <w:kern w:val="0"/>
                <w:sz w:val="20"/>
                <w:szCs w:val="20"/>
              </w:rPr>
              <w:t>模式建设，引进中山灯饰企业及相关配套企业</w:t>
            </w:r>
            <w:r>
              <w:rPr>
                <w:rFonts w:eastAsia="仿宋_GB2312"/>
                <w:color w:val="auto"/>
                <w:kern w:val="0"/>
                <w:sz w:val="20"/>
                <w:szCs w:val="20"/>
              </w:rPr>
              <w:t>100</w:t>
            </w:r>
            <w:r>
              <w:rPr>
                <w:rFonts w:hint="eastAsia" w:ascii="仿宋_GB2312" w:hAnsi="宋体" w:eastAsia="仿宋_GB2312" w:cs="宋体"/>
                <w:color w:val="auto"/>
                <w:kern w:val="0"/>
                <w:sz w:val="20"/>
                <w:szCs w:val="20"/>
              </w:rPr>
              <w:t>家</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安康汽车关键零部件研发生产基地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10000</w:t>
            </w:r>
            <w:r>
              <w:rPr>
                <w:rFonts w:hint="eastAsia" w:ascii="仿宋_GB2312" w:eastAsia="仿宋_GB2312"/>
                <w:color w:val="auto"/>
                <w:kern w:val="0"/>
                <w:sz w:val="20"/>
                <w:szCs w:val="20"/>
              </w:rPr>
              <w:t>万台</w:t>
            </w:r>
            <w:r>
              <w:rPr>
                <w:rFonts w:eastAsia="宋体"/>
                <w:color w:val="auto"/>
                <w:kern w:val="0"/>
                <w:sz w:val="20"/>
                <w:szCs w:val="20"/>
              </w:rPr>
              <w:t>(</w:t>
            </w:r>
            <w:r>
              <w:rPr>
                <w:rFonts w:hint="eastAsia" w:ascii="仿宋_GB2312" w:eastAsia="仿宋_GB2312"/>
                <w:color w:val="auto"/>
                <w:kern w:val="0"/>
                <w:sz w:val="20"/>
                <w:szCs w:val="20"/>
              </w:rPr>
              <w:t>套</w:t>
            </w:r>
            <w:r>
              <w:rPr>
                <w:rFonts w:eastAsia="宋体"/>
                <w:color w:val="auto"/>
                <w:kern w:val="0"/>
                <w:sz w:val="20"/>
                <w:szCs w:val="20"/>
              </w:rPr>
              <w:t>)</w:t>
            </w:r>
            <w:r>
              <w:rPr>
                <w:rFonts w:hint="eastAsia" w:ascii="仿宋_GB2312" w:eastAsia="仿宋_GB2312"/>
                <w:color w:val="auto"/>
                <w:kern w:val="0"/>
                <w:sz w:val="20"/>
                <w:szCs w:val="20"/>
              </w:rPr>
              <w:t>汽车关键零部件精密锻造加工生产线和精加工生产线、研发中心、办公楼、宿舍楼等配套设施</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2014-2016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安康全钒氧化还原液流电池生产线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新建钒电池研发中心及生产线、年产各类总容量</w:t>
            </w:r>
            <w:r>
              <w:rPr>
                <w:rFonts w:eastAsia="仿宋_GB2312"/>
                <w:color w:val="auto"/>
                <w:kern w:val="0"/>
                <w:sz w:val="20"/>
                <w:szCs w:val="20"/>
              </w:rPr>
              <w:t>500MWH</w:t>
            </w:r>
            <w:r>
              <w:rPr>
                <w:rFonts w:hint="eastAsia" w:ascii="仿宋_GB2312" w:hAnsi="宋体" w:eastAsia="仿宋_GB2312" w:cs="宋体"/>
                <w:color w:val="auto"/>
                <w:kern w:val="0"/>
                <w:sz w:val="20"/>
                <w:szCs w:val="20"/>
              </w:rPr>
              <w:t>的全钒液流电池</w:t>
            </w:r>
            <w:r>
              <w:rPr>
                <w:rFonts w:eastAsia="仿宋_GB2312"/>
                <w:color w:val="auto"/>
                <w:kern w:val="0"/>
                <w:sz w:val="20"/>
                <w:szCs w:val="20"/>
              </w:rPr>
              <w:t>8600</w:t>
            </w:r>
            <w:r>
              <w:rPr>
                <w:rFonts w:hint="eastAsia" w:ascii="仿宋_GB2312" w:hAnsi="宋体" w:eastAsia="仿宋_GB2312" w:cs="宋体"/>
                <w:color w:val="auto"/>
                <w:kern w:val="0"/>
                <w:sz w:val="20"/>
                <w:szCs w:val="20"/>
              </w:rPr>
              <w:t>组</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安康钛合金板材生产线</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建设年产钛合金板材</w:t>
            </w:r>
            <w:r>
              <w:rPr>
                <w:rFonts w:eastAsia="仿宋_GB2312"/>
                <w:color w:val="auto"/>
                <w:kern w:val="0"/>
                <w:sz w:val="20"/>
                <w:szCs w:val="20"/>
              </w:rPr>
              <w:t>2000</w:t>
            </w:r>
            <w:r>
              <w:rPr>
                <w:rFonts w:hint="eastAsia" w:ascii="仿宋_GB2312" w:hAnsi="宋体" w:eastAsia="仿宋_GB2312" w:cs="宋体"/>
                <w:color w:val="auto"/>
                <w:kern w:val="0"/>
                <w:sz w:val="20"/>
                <w:szCs w:val="20"/>
              </w:rPr>
              <w:t>吨生产线，包括生产车间、综合办公楼及生活服务等配套设施</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91</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安康自动机械立体停车场（库）制造工程</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w:t>
            </w:r>
            <w:r>
              <w:rPr>
                <w:rFonts w:eastAsia="仿宋_GB2312"/>
                <w:color w:val="auto"/>
                <w:kern w:val="0"/>
                <w:sz w:val="20"/>
                <w:szCs w:val="20"/>
              </w:rPr>
              <w:t>200</w:t>
            </w:r>
            <w:r>
              <w:rPr>
                <w:rFonts w:hint="eastAsia" w:ascii="仿宋_GB2312" w:hAnsi="宋体" w:eastAsia="仿宋_GB2312" w:cs="宋体"/>
                <w:color w:val="auto"/>
                <w:kern w:val="0"/>
                <w:sz w:val="20"/>
                <w:szCs w:val="20"/>
              </w:rPr>
              <w:t>亩，建设年产</w:t>
            </w:r>
            <w:r>
              <w:rPr>
                <w:rFonts w:eastAsia="仿宋_GB2312"/>
                <w:color w:val="auto"/>
                <w:kern w:val="0"/>
                <w:sz w:val="20"/>
                <w:szCs w:val="20"/>
              </w:rPr>
              <w:t>6000</w:t>
            </w:r>
            <w:r>
              <w:rPr>
                <w:rFonts w:hint="eastAsia" w:ascii="仿宋_GB2312" w:hAnsi="宋体" w:eastAsia="仿宋_GB2312" w:cs="宋体"/>
                <w:color w:val="auto"/>
                <w:kern w:val="0"/>
                <w:sz w:val="20"/>
                <w:szCs w:val="20"/>
              </w:rPr>
              <w:t>套自动机械立体式停车场（库）生产线及配套设施</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安康恒口重轻型汽车零部件加工生产线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建设重型汽车零件加工生产线，年锻造、热处理、生产加工各种轴头、盘头、支架头、差速器头等零部件</w:t>
            </w:r>
            <w:r>
              <w:rPr>
                <w:rFonts w:eastAsia="仿宋_GB2312"/>
                <w:color w:val="auto"/>
                <w:kern w:val="0"/>
                <w:sz w:val="20"/>
                <w:szCs w:val="20"/>
              </w:rPr>
              <w:t>24</w:t>
            </w:r>
            <w:r>
              <w:rPr>
                <w:rFonts w:hint="eastAsia" w:ascii="仿宋_GB2312" w:hAnsi="宋体" w:eastAsia="仿宋_GB2312" w:cs="宋体"/>
                <w:color w:val="auto"/>
                <w:kern w:val="0"/>
                <w:sz w:val="20"/>
                <w:szCs w:val="20"/>
              </w:rPr>
              <w:t>万吨</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安康市恒口示范区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安康石煤综合利用工程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6000</w:t>
            </w:r>
            <w:r>
              <w:rPr>
                <w:rFonts w:hint="eastAsia" w:ascii="仿宋_GB2312" w:hAnsi="宋体" w:eastAsia="仿宋_GB2312" w:cs="宋体"/>
                <w:color w:val="auto"/>
                <w:kern w:val="0"/>
                <w:sz w:val="20"/>
                <w:szCs w:val="20"/>
              </w:rPr>
              <w:t>吨</w:t>
            </w:r>
            <w:r>
              <w:rPr>
                <w:rFonts w:eastAsia="仿宋_GB2312"/>
                <w:color w:val="auto"/>
                <w:kern w:val="0"/>
                <w:sz w:val="20"/>
                <w:szCs w:val="20"/>
              </w:rPr>
              <w:t>V2O5</w:t>
            </w:r>
            <w:r>
              <w:rPr>
                <w:rFonts w:hint="eastAsia" w:ascii="仿宋_GB2312" w:hAnsi="宋体" w:eastAsia="仿宋_GB2312" w:cs="宋体"/>
                <w:color w:val="auto"/>
                <w:kern w:val="0"/>
                <w:sz w:val="20"/>
                <w:szCs w:val="20"/>
              </w:rPr>
              <w:t>生产线</w:t>
            </w:r>
            <w:r>
              <w:rPr>
                <w:rFonts w:eastAsia="仿宋_GB2312"/>
                <w:color w:val="auto"/>
                <w:kern w:val="0"/>
                <w:sz w:val="20"/>
                <w:szCs w:val="20"/>
              </w:rPr>
              <w:t>1</w:t>
            </w:r>
            <w:r>
              <w:rPr>
                <w:rFonts w:hint="eastAsia" w:ascii="仿宋_GB2312" w:hAnsi="宋体" w:eastAsia="仿宋_GB2312" w:cs="宋体"/>
                <w:color w:val="auto"/>
                <w:kern w:val="0"/>
                <w:sz w:val="20"/>
                <w:szCs w:val="20"/>
              </w:rPr>
              <w:t>条</w:t>
            </w:r>
            <w:r>
              <w:rPr>
                <w:rFonts w:eastAsia="仿宋_GB2312"/>
                <w:color w:val="auto"/>
                <w:kern w:val="0"/>
                <w:sz w:val="20"/>
                <w:szCs w:val="20"/>
              </w:rPr>
              <w:t>,</w:t>
            </w:r>
            <w:r>
              <w:rPr>
                <w:rFonts w:hint="eastAsia" w:ascii="仿宋_GB2312" w:hAnsi="宋体" w:eastAsia="仿宋_GB2312" w:cs="宋体"/>
                <w:color w:val="auto"/>
                <w:kern w:val="0"/>
                <w:sz w:val="20"/>
                <w:szCs w:val="20"/>
              </w:rPr>
              <w:t>安装</w:t>
            </w:r>
            <w:r>
              <w:rPr>
                <w:rFonts w:eastAsia="仿宋_GB2312"/>
                <w:color w:val="auto"/>
                <w:kern w:val="0"/>
                <w:sz w:val="20"/>
                <w:szCs w:val="20"/>
              </w:rPr>
              <w:t>2×300MW</w:t>
            </w:r>
            <w:r>
              <w:rPr>
                <w:rFonts w:hint="eastAsia" w:ascii="仿宋_GB2312" w:hAnsi="宋体" w:eastAsia="仿宋_GB2312" w:cs="宋体"/>
                <w:color w:val="auto"/>
                <w:kern w:val="0"/>
                <w:sz w:val="20"/>
                <w:szCs w:val="20"/>
              </w:rPr>
              <w:t>循环流化床</w:t>
            </w:r>
            <w:r>
              <w:rPr>
                <w:rFonts w:eastAsia="仿宋_GB2312"/>
                <w:color w:val="auto"/>
                <w:kern w:val="0"/>
                <w:sz w:val="20"/>
                <w:szCs w:val="20"/>
              </w:rPr>
              <w:t>(CFB)</w:t>
            </w:r>
            <w:r>
              <w:rPr>
                <w:rFonts w:hint="eastAsia" w:ascii="仿宋_GB2312" w:hAnsi="宋体" w:eastAsia="仿宋_GB2312" w:cs="宋体"/>
                <w:color w:val="auto"/>
                <w:kern w:val="0"/>
                <w:sz w:val="20"/>
                <w:szCs w:val="20"/>
              </w:rPr>
              <w:t>发电机组</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安康电子元器件加工产业园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重点引进具有低烟、无卤、阻燃等特点的各种规格高压、超高压电线电缆生产、加工与销售企业</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商洛矿产资源调查及勘查</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通过地质勘查，提交中型以上新矿产地</w:t>
            </w:r>
            <w:r>
              <w:rPr>
                <w:rFonts w:eastAsia="仿宋_GB2312"/>
                <w:color w:val="auto"/>
                <w:kern w:val="0"/>
                <w:sz w:val="20"/>
                <w:szCs w:val="20"/>
              </w:rPr>
              <w:t>20</w:t>
            </w:r>
            <w:r>
              <w:rPr>
                <w:rFonts w:hint="eastAsia" w:ascii="仿宋_GB2312" w:hAnsi="宋体" w:eastAsia="仿宋_GB2312" w:cs="宋体"/>
                <w:color w:val="auto"/>
                <w:kern w:val="0"/>
                <w:sz w:val="20"/>
                <w:szCs w:val="20"/>
              </w:rPr>
              <w:t>处，增加资源量铜</w:t>
            </w:r>
            <w:r>
              <w:rPr>
                <w:rFonts w:eastAsia="仿宋_GB2312"/>
                <w:color w:val="auto"/>
                <w:kern w:val="0"/>
                <w:sz w:val="20"/>
                <w:szCs w:val="20"/>
              </w:rPr>
              <w:t>10</w:t>
            </w:r>
            <w:r>
              <w:rPr>
                <w:rFonts w:hint="eastAsia" w:ascii="仿宋_GB2312" w:hAnsi="宋体" w:eastAsia="仿宋_GB2312" w:cs="宋体"/>
                <w:color w:val="auto"/>
                <w:kern w:val="0"/>
                <w:sz w:val="20"/>
                <w:szCs w:val="20"/>
              </w:rPr>
              <w:t>万吨、钒</w:t>
            </w:r>
            <w:r>
              <w:rPr>
                <w:rFonts w:eastAsia="仿宋_GB2312"/>
                <w:color w:val="auto"/>
                <w:kern w:val="0"/>
                <w:sz w:val="20"/>
                <w:szCs w:val="20"/>
              </w:rPr>
              <w:t>100</w:t>
            </w:r>
            <w:r>
              <w:rPr>
                <w:rFonts w:hint="eastAsia" w:ascii="仿宋_GB2312" w:hAnsi="宋体" w:eastAsia="仿宋_GB2312" w:cs="宋体"/>
                <w:color w:val="auto"/>
                <w:kern w:val="0"/>
                <w:sz w:val="20"/>
                <w:szCs w:val="20"/>
              </w:rPr>
              <w:t>万吨、钼</w:t>
            </w:r>
            <w:r>
              <w:rPr>
                <w:rFonts w:eastAsia="仿宋_GB2312"/>
                <w:color w:val="auto"/>
                <w:kern w:val="0"/>
                <w:sz w:val="20"/>
                <w:szCs w:val="20"/>
              </w:rPr>
              <w:t>30</w:t>
            </w:r>
            <w:r>
              <w:rPr>
                <w:rFonts w:hint="eastAsia" w:ascii="仿宋_GB2312" w:hAnsi="宋体" w:eastAsia="仿宋_GB2312" w:cs="宋体"/>
                <w:color w:val="auto"/>
                <w:kern w:val="0"/>
                <w:sz w:val="20"/>
                <w:szCs w:val="20"/>
              </w:rPr>
              <w:t>万吨、铁</w:t>
            </w:r>
            <w:r>
              <w:rPr>
                <w:rFonts w:eastAsia="仿宋_GB2312"/>
                <w:color w:val="auto"/>
                <w:kern w:val="0"/>
                <w:sz w:val="20"/>
                <w:szCs w:val="20"/>
              </w:rPr>
              <w:t>1.6</w:t>
            </w:r>
            <w:r>
              <w:rPr>
                <w:rFonts w:hint="eastAsia" w:ascii="仿宋_GB2312" w:hAnsi="宋体" w:eastAsia="仿宋_GB2312" w:cs="宋体"/>
                <w:color w:val="auto"/>
                <w:kern w:val="0"/>
                <w:sz w:val="20"/>
                <w:szCs w:val="20"/>
              </w:rPr>
              <w:t>亿吨、金</w:t>
            </w:r>
            <w:r>
              <w:rPr>
                <w:rFonts w:eastAsia="仿宋_GB2312"/>
                <w:color w:val="auto"/>
                <w:kern w:val="0"/>
                <w:sz w:val="20"/>
                <w:szCs w:val="20"/>
              </w:rPr>
              <w:t>200</w:t>
            </w:r>
            <w:r>
              <w:rPr>
                <w:rFonts w:hint="eastAsia" w:ascii="仿宋_GB2312" w:hAnsi="宋体" w:eastAsia="仿宋_GB2312" w:cs="宋体"/>
                <w:color w:val="auto"/>
                <w:kern w:val="0"/>
                <w:sz w:val="20"/>
                <w:szCs w:val="20"/>
              </w:rPr>
              <w:t>吨、石墨</w:t>
            </w:r>
            <w:r>
              <w:rPr>
                <w:rFonts w:eastAsia="仿宋_GB2312"/>
                <w:color w:val="auto"/>
                <w:kern w:val="0"/>
                <w:sz w:val="20"/>
                <w:szCs w:val="20"/>
              </w:rPr>
              <w:t>100</w:t>
            </w:r>
            <w:r>
              <w:rPr>
                <w:rFonts w:hint="eastAsia" w:ascii="仿宋_GB2312" w:hAnsi="宋体" w:eastAsia="仿宋_GB2312" w:cs="宋体"/>
                <w:color w:val="auto"/>
                <w:kern w:val="0"/>
                <w:sz w:val="20"/>
                <w:szCs w:val="20"/>
              </w:rPr>
              <w:t>万吨、铅锌</w:t>
            </w:r>
            <w:r>
              <w:rPr>
                <w:rFonts w:eastAsia="仿宋_GB2312"/>
                <w:color w:val="auto"/>
                <w:kern w:val="0"/>
                <w:sz w:val="20"/>
                <w:szCs w:val="20"/>
              </w:rPr>
              <w:t>60</w:t>
            </w:r>
            <w:r>
              <w:rPr>
                <w:rFonts w:hint="eastAsia" w:ascii="仿宋_GB2312" w:hAnsi="宋体" w:eastAsia="仿宋_GB2312" w:cs="宋体"/>
                <w:color w:val="auto"/>
                <w:kern w:val="0"/>
                <w:sz w:val="20"/>
                <w:szCs w:val="20"/>
              </w:rPr>
              <w:t>万吨、花岗岩</w:t>
            </w:r>
            <w:r>
              <w:rPr>
                <w:rFonts w:eastAsia="仿宋_GB2312"/>
                <w:color w:val="auto"/>
                <w:kern w:val="0"/>
                <w:sz w:val="20"/>
                <w:szCs w:val="20"/>
              </w:rPr>
              <w:t>2</w:t>
            </w:r>
            <w:r>
              <w:rPr>
                <w:rFonts w:hint="eastAsia" w:ascii="仿宋_GB2312" w:hAnsi="宋体" w:eastAsia="仿宋_GB2312" w:cs="宋体"/>
                <w:color w:val="auto"/>
                <w:kern w:val="0"/>
                <w:sz w:val="20"/>
                <w:szCs w:val="20"/>
              </w:rPr>
              <w:t>亿立方米</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山阳水电镁一体化开发工程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利用金钱河水电资源，建设腰坪电站，利用自发电建设年产</w:t>
            </w:r>
            <w:r>
              <w:rPr>
                <w:rFonts w:eastAsia="仿宋_GB2312"/>
                <w:color w:val="auto"/>
                <w:kern w:val="0"/>
                <w:sz w:val="20"/>
                <w:szCs w:val="20"/>
              </w:rPr>
              <w:t>10</w:t>
            </w:r>
            <w:r>
              <w:rPr>
                <w:rFonts w:hint="eastAsia" w:ascii="仿宋_GB2312" w:hAnsi="宋体" w:eastAsia="仿宋_GB2312" w:cs="宋体"/>
                <w:color w:val="auto"/>
                <w:kern w:val="0"/>
                <w:sz w:val="20"/>
                <w:szCs w:val="20"/>
              </w:rPr>
              <w:t>万吨镁合金、</w:t>
            </w:r>
            <w:r>
              <w:rPr>
                <w:rFonts w:eastAsia="仿宋_GB2312"/>
                <w:color w:val="auto"/>
                <w:kern w:val="0"/>
                <w:sz w:val="20"/>
                <w:szCs w:val="20"/>
              </w:rPr>
              <w:t>12</w:t>
            </w:r>
            <w:r>
              <w:rPr>
                <w:rFonts w:hint="eastAsia" w:ascii="仿宋_GB2312" w:hAnsi="宋体" w:eastAsia="仿宋_GB2312" w:cs="宋体"/>
                <w:color w:val="auto"/>
                <w:kern w:val="0"/>
                <w:sz w:val="20"/>
                <w:szCs w:val="20"/>
              </w:rPr>
              <w:t>万吨硅铁、</w:t>
            </w:r>
            <w:r>
              <w:rPr>
                <w:rFonts w:eastAsia="仿宋_GB2312"/>
                <w:color w:val="auto"/>
                <w:kern w:val="0"/>
                <w:sz w:val="20"/>
                <w:szCs w:val="20"/>
              </w:rPr>
              <w:t>2</w:t>
            </w:r>
            <w:r>
              <w:rPr>
                <w:rFonts w:hint="eastAsia" w:ascii="仿宋_GB2312" w:hAnsi="宋体" w:eastAsia="仿宋_GB2312" w:cs="宋体"/>
                <w:color w:val="auto"/>
                <w:kern w:val="0"/>
                <w:sz w:val="20"/>
                <w:szCs w:val="20"/>
              </w:rPr>
              <w:t>万吨镁合金铸件项目</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商洛钼产业链延伸工程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建设氧化钼、钼粉、高纯硫化钼、高纯氧化钼、钼铁、铼粉、钼酸铵、钼酸铅、高铼酸铵等生产线。</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洛南县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商洛钒产业链延伸工程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建设高纯钒、钒铁、氮化钒、钒触媒、钒电池电解液、蓄能电池生产线</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洛南邦友硅产业园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60</w:t>
            </w:r>
            <w:r>
              <w:rPr>
                <w:rFonts w:hint="eastAsia" w:ascii="仿宋_GB2312" w:hAnsi="宋体" w:eastAsia="仿宋_GB2312" w:cs="宋体"/>
                <w:color w:val="auto"/>
                <w:kern w:val="0"/>
                <w:sz w:val="20"/>
                <w:szCs w:val="20"/>
              </w:rPr>
              <w:t>万吨高纯硅砂及</w:t>
            </w:r>
            <w:r>
              <w:rPr>
                <w:rFonts w:eastAsia="仿宋_GB2312"/>
                <w:color w:val="auto"/>
                <w:kern w:val="0"/>
                <w:sz w:val="20"/>
                <w:szCs w:val="20"/>
              </w:rPr>
              <w:t>5</w:t>
            </w:r>
            <w:r>
              <w:rPr>
                <w:rFonts w:hint="eastAsia" w:ascii="仿宋_GB2312" w:hAnsi="宋体" w:eastAsia="仿宋_GB2312" w:cs="宋体"/>
                <w:color w:val="auto"/>
                <w:kern w:val="0"/>
                <w:sz w:val="20"/>
                <w:szCs w:val="20"/>
              </w:rPr>
              <w:t>万吨改性二氧化硅、年产</w:t>
            </w:r>
            <w:r>
              <w:rPr>
                <w:rFonts w:eastAsia="仿宋_GB2312"/>
                <w:color w:val="auto"/>
                <w:kern w:val="0"/>
                <w:sz w:val="20"/>
                <w:szCs w:val="20"/>
              </w:rPr>
              <w:t>200</w:t>
            </w:r>
            <w:r>
              <w:rPr>
                <w:rFonts w:hint="eastAsia" w:ascii="仿宋_GB2312" w:hAnsi="宋体" w:eastAsia="仿宋_GB2312" w:cs="宋体"/>
                <w:color w:val="auto"/>
                <w:kern w:val="0"/>
                <w:sz w:val="20"/>
                <w:szCs w:val="20"/>
              </w:rPr>
              <w:t>万平方米石英板材、年产</w:t>
            </w:r>
            <w:r>
              <w:rPr>
                <w:rFonts w:eastAsia="仿宋_GB2312"/>
                <w:color w:val="auto"/>
                <w:kern w:val="0"/>
                <w:sz w:val="20"/>
                <w:szCs w:val="20"/>
              </w:rPr>
              <w:t>3</w:t>
            </w:r>
            <w:r>
              <w:rPr>
                <w:rFonts w:hint="eastAsia" w:ascii="仿宋_GB2312" w:hAnsi="宋体" w:eastAsia="仿宋_GB2312" w:cs="宋体"/>
                <w:color w:val="auto"/>
                <w:kern w:val="0"/>
                <w:sz w:val="20"/>
                <w:szCs w:val="20"/>
              </w:rPr>
              <w:t>万吨提纯熔融硅、年产</w:t>
            </w:r>
            <w:r>
              <w:rPr>
                <w:rFonts w:eastAsia="仿宋_GB2312"/>
                <w:color w:val="auto"/>
                <w:kern w:val="0"/>
                <w:sz w:val="20"/>
                <w:szCs w:val="20"/>
              </w:rPr>
              <w:t>5000</w:t>
            </w:r>
            <w:r>
              <w:rPr>
                <w:rFonts w:hint="eastAsia" w:ascii="仿宋_GB2312" w:hAnsi="宋体" w:eastAsia="仿宋_GB2312" w:cs="宋体"/>
                <w:color w:val="auto"/>
                <w:kern w:val="0"/>
                <w:sz w:val="20"/>
                <w:szCs w:val="20"/>
              </w:rPr>
              <w:t>吨</w:t>
            </w:r>
            <w:r>
              <w:rPr>
                <w:rFonts w:eastAsia="仿宋_GB2312"/>
                <w:color w:val="auto"/>
                <w:kern w:val="0"/>
                <w:sz w:val="20"/>
                <w:szCs w:val="20"/>
              </w:rPr>
              <w:t>LED</w:t>
            </w:r>
            <w:r>
              <w:rPr>
                <w:rFonts w:hint="eastAsia" w:ascii="仿宋_GB2312" w:hAnsi="宋体" w:eastAsia="仿宋_GB2312" w:cs="宋体"/>
                <w:color w:val="auto"/>
                <w:kern w:val="0"/>
                <w:sz w:val="20"/>
                <w:szCs w:val="20"/>
              </w:rPr>
              <w:t>发光二极管等</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洛南县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2012-2020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洛南大秦钾业产业园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建设年处理</w:t>
            </w:r>
            <w:r>
              <w:rPr>
                <w:rFonts w:eastAsia="仿宋_GB2312"/>
                <w:color w:val="auto"/>
                <w:kern w:val="0"/>
                <w:sz w:val="20"/>
                <w:szCs w:val="20"/>
              </w:rPr>
              <w:t>120</w:t>
            </w:r>
            <w:r>
              <w:rPr>
                <w:rFonts w:hint="eastAsia" w:ascii="仿宋_GB2312" w:hAnsi="宋体" w:eastAsia="仿宋_GB2312" w:cs="宋体"/>
                <w:color w:val="auto"/>
                <w:kern w:val="0"/>
                <w:sz w:val="20"/>
                <w:szCs w:val="20"/>
              </w:rPr>
              <w:t>万吨钾长石生产线，年产钾肥</w:t>
            </w:r>
            <w:r>
              <w:rPr>
                <w:rFonts w:eastAsia="仿宋_GB2312"/>
                <w:color w:val="auto"/>
                <w:kern w:val="0"/>
                <w:sz w:val="20"/>
                <w:szCs w:val="20"/>
              </w:rPr>
              <w:t>30</w:t>
            </w:r>
            <w:r>
              <w:rPr>
                <w:rFonts w:hint="eastAsia" w:ascii="仿宋_GB2312" w:hAnsi="宋体" w:eastAsia="仿宋_GB2312" w:cs="宋体"/>
                <w:color w:val="auto"/>
                <w:kern w:val="0"/>
                <w:sz w:val="20"/>
                <w:szCs w:val="20"/>
              </w:rPr>
              <w:t>万吨、硅灰石</w:t>
            </w:r>
            <w:r>
              <w:rPr>
                <w:rFonts w:eastAsia="仿宋_GB2312"/>
                <w:color w:val="auto"/>
                <w:kern w:val="0"/>
                <w:sz w:val="20"/>
                <w:szCs w:val="20"/>
              </w:rPr>
              <w:t>99</w:t>
            </w:r>
            <w:r>
              <w:rPr>
                <w:rFonts w:hint="eastAsia" w:ascii="仿宋_GB2312" w:hAnsi="宋体" w:eastAsia="仿宋_GB2312" w:cs="宋体"/>
                <w:color w:val="auto"/>
                <w:kern w:val="0"/>
                <w:sz w:val="20"/>
                <w:szCs w:val="20"/>
              </w:rPr>
              <w:t>万吨、</w:t>
            </w:r>
            <w:r>
              <w:rPr>
                <w:rFonts w:eastAsia="仿宋_GB2312"/>
                <w:color w:val="auto"/>
                <w:kern w:val="0"/>
                <w:sz w:val="20"/>
                <w:szCs w:val="20"/>
              </w:rPr>
              <w:t>45</w:t>
            </w:r>
            <w:r>
              <w:rPr>
                <w:rFonts w:hint="eastAsia" w:ascii="仿宋_GB2312" w:hAnsi="宋体" w:eastAsia="仿宋_GB2312" w:cs="宋体"/>
                <w:color w:val="auto"/>
                <w:kern w:val="0"/>
                <w:sz w:val="20"/>
                <w:szCs w:val="20"/>
              </w:rPr>
              <w:t>万吨煅烧高岭土、</w:t>
            </w:r>
            <w:r>
              <w:rPr>
                <w:rFonts w:eastAsia="仿宋_GB2312"/>
                <w:color w:val="auto"/>
                <w:kern w:val="0"/>
                <w:sz w:val="20"/>
                <w:szCs w:val="20"/>
              </w:rPr>
              <w:t>10</w:t>
            </w:r>
            <w:r>
              <w:rPr>
                <w:rFonts w:hint="eastAsia" w:ascii="仿宋_GB2312" w:hAnsi="宋体" w:eastAsia="仿宋_GB2312" w:cs="宋体"/>
                <w:color w:val="auto"/>
                <w:kern w:val="0"/>
                <w:sz w:val="20"/>
                <w:szCs w:val="20"/>
              </w:rPr>
              <w:t>万吨环保石料纸、轻型墙体材料</w:t>
            </w:r>
            <w:r>
              <w:rPr>
                <w:rFonts w:eastAsia="仿宋_GB2312"/>
                <w:color w:val="auto"/>
                <w:kern w:val="0"/>
                <w:sz w:val="20"/>
                <w:szCs w:val="20"/>
              </w:rPr>
              <w:t>30</w:t>
            </w:r>
            <w:r>
              <w:rPr>
                <w:rFonts w:hint="eastAsia" w:ascii="仿宋_GB2312" w:hAnsi="宋体" w:eastAsia="仿宋_GB2312" w:cs="宋体"/>
                <w:color w:val="auto"/>
                <w:kern w:val="0"/>
                <w:sz w:val="20"/>
                <w:szCs w:val="20"/>
              </w:rPr>
              <w:t>万平方米</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洛南县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2012-2018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洛南西部陶瓷基地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依托洛南丰富的优质陶土资源，建设新型陶瓷系列产品生产线，打造西部现代陶瓷产业基地</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洛南县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丹凤钾肥生产线</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利用丰富的钾长石资源，建设年产</w:t>
            </w:r>
            <w:r>
              <w:rPr>
                <w:rFonts w:eastAsia="仿宋_GB2312"/>
                <w:color w:val="auto"/>
                <w:kern w:val="0"/>
                <w:sz w:val="20"/>
                <w:szCs w:val="20"/>
              </w:rPr>
              <w:t>100</w:t>
            </w:r>
            <w:r>
              <w:rPr>
                <w:rFonts w:hint="eastAsia" w:ascii="仿宋_GB2312" w:hAnsi="宋体" w:eastAsia="仿宋_GB2312" w:cs="宋体"/>
                <w:color w:val="auto"/>
                <w:kern w:val="0"/>
                <w:sz w:val="20"/>
                <w:szCs w:val="20"/>
              </w:rPr>
              <w:t>万吨钾肥生产线及相关配套设施</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丹凤县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商南钛材料生产线</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利用商南县丰富的金红石资源，分期建设年产</w:t>
            </w:r>
            <w:r>
              <w:rPr>
                <w:rFonts w:eastAsia="仿宋_GB2312"/>
                <w:color w:val="auto"/>
                <w:kern w:val="0"/>
                <w:sz w:val="20"/>
                <w:szCs w:val="20"/>
              </w:rPr>
              <w:t>8</w:t>
            </w:r>
            <w:r>
              <w:rPr>
                <w:rFonts w:hint="eastAsia" w:ascii="仿宋_GB2312" w:hAnsi="宋体" w:eastAsia="仿宋_GB2312" w:cs="宋体"/>
                <w:color w:val="auto"/>
                <w:kern w:val="0"/>
                <w:sz w:val="20"/>
                <w:szCs w:val="20"/>
              </w:rPr>
              <w:t>万吨四氯化钛、</w:t>
            </w:r>
            <w:r>
              <w:rPr>
                <w:rFonts w:eastAsia="仿宋_GB2312"/>
                <w:color w:val="auto"/>
                <w:kern w:val="0"/>
                <w:sz w:val="20"/>
                <w:szCs w:val="20"/>
              </w:rPr>
              <w:t>2</w:t>
            </w:r>
            <w:r>
              <w:rPr>
                <w:rFonts w:hint="eastAsia" w:ascii="仿宋_GB2312" w:hAnsi="宋体" w:eastAsia="仿宋_GB2312" w:cs="宋体"/>
                <w:color w:val="auto"/>
                <w:kern w:val="0"/>
                <w:sz w:val="20"/>
                <w:szCs w:val="20"/>
              </w:rPr>
              <w:t>万吨海绵钛、</w:t>
            </w:r>
            <w:r>
              <w:rPr>
                <w:rFonts w:eastAsia="仿宋_GB2312"/>
                <w:color w:val="auto"/>
                <w:kern w:val="0"/>
                <w:sz w:val="20"/>
                <w:szCs w:val="20"/>
              </w:rPr>
              <w:t>1.9</w:t>
            </w:r>
            <w:r>
              <w:rPr>
                <w:rFonts w:hint="eastAsia" w:ascii="仿宋_GB2312" w:hAnsi="宋体" w:eastAsia="仿宋_GB2312" w:cs="宋体"/>
                <w:color w:val="auto"/>
                <w:kern w:val="0"/>
                <w:sz w:val="20"/>
                <w:szCs w:val="20"/>
              </w:rPr>
              <w:t>万吨钛铸锭及</w:t>
            </w:r>
            <w:r>
              <w:rPr>
                <w:rFonts w:eastAsia="仿宋_GB2312"/>
                <w:color w:val="auto"/>
                <w:kern w:val="0"/>
                <w:sz w:val="20"/>
                <w:szCs w:val="20"/>
              </w:rPr>
              <w:t>2</w:t>
            </w:r>
            <w:r>
              <w:rPr>
                <w:rFonts w:hint="eastAsia" w:ascii="仿宋_GB2312" w:hAnsi="宋体" w:eastAsia="仿宋_GB2312" w:cs="宋体"/>
                <w:color w:val="auto"/>
                <w:kern w:val="0"/>
                <w:sz w:val="20"/>
                <w:szCs w:val="20"/>
              </w:rPr>
              <w:t>万吨钛型材，并对其产生</w:t>
            </w:r>
            <w:r>
              <w:rPr>
                <w:rFonts w:eastAsia="仿宋_GB2312"/>
                <w:color w:val="auto"/>
                <w:kern w:val="0"/>
                <w:sz w:val="20"/>
                <w:szCs w:val="20"/>
              </w:rPr>
              <w:t>650</w:t>
            </w:r>
            <w:r>
              <w:rPr>
                <w:rFonts w:hint="eastAsia" w:ascii="仿宋_GB2312" w:hAnsi="宋体" w:eastAsia="仿宋_GB2312" w:cs="宋体"/>
                <w:color w:val="auto"/>
                <w:kern w:val="0"/>
                <w:sz w:val="20"/>
                <w:szCs w:val="20"/>
              </w:rPr>
              <w:t>吨的废渣回收再利用</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商南硅科技产业园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5</w:t>
            </w:r>
            <w:r>
              <w:rPr>
                <w:rFonts w:hint="eastAsia" w:ascii="仿宋_GB2312" w:hAnsi="宋体" w:eastAsia="仿宋_GB2312" w:cs="宋体"/>
                <w:color w:val="auto"/>
                <w:kern w:val="0"/>
                <w:sz w:val="20"/>
                <w:szCs w:val="20"/>
              </w:rPr>
              <w:t>万吨工业硅、</w:t>
            </w:r>
            <w:r>
              <w:rPr>
                <w:rFonts w:eastAsia="仿宋_GB2312"/>
                <w:color w:val="auto"/>
                <w:kern w:val="0"/>
                <w:sz w:val="20"/>
                <w:szCs w:val="20"/>
              </w:rPr>
              <w:t>3.5</w:t>
            </w:r>
            <w:r>
              <w:rPr>
                <w:rFonts w:hint="eastAsia" w:ascii="仿宋_GB2312" w:hAnsi="宋体" w:eastAsia="仿宋_GB2312" w:cs="宋体"/>
                <w:color w:val="auto"/>
                <w:kern w:val="0"/>
                <w:sz w:val="20"/>
                <w:szCs w:val="20"/>
              </w:rPr>
              <w:t>万吨高纯硅、</w:t>
            </w:r>
            <w:r>
              <w:rPr>
                <w:rFonts w:eastAsia="仿宋_GB2312"/>
                <w:color w:val="auto"/>
                <w:kern w:val="0"/>
                <w:sz w:val="20"/>
                <w:szCs w:val="20"/>
              </w:rPr>
              <w:t>1</w:t>
            </w:r>
            <w:r>
              <w:rPr>
                <w:rFonts w:hint="eastAsia" w:ascii="仿宋_GB2312" w:hAnsi="宋体" w:eastAsia="仿宋_GB2312" w:cs="宋体"/>
                <w:color w:val="auto"/>
                <w:kern w:val="0"/>
                <w:sz w:val="20"/>
                <w:szCs w:val="20"/>
              </w:rPr>
              <w:t>万吨太阳能级多晶硅、多晶硅铸锭切片、太阳能电池、光伏组件、分布式光伏发电、余热发电、微硅粉回收综合利用、渣剂制备等</w:t>
            </w:r>
            <w:r>
              <w:rPr>
                <w:rFonts w:eastAsia="仿宋_GB2312"/>
                <w:color w:val="auto"/>
                <w:kern w:val="0"/>
                <w:sz w:val="20"/>
                <w:szCs w:val="20"/>
              </w:rPr>
              <w:t>10</w:t>
            </w:r>
            <w:r>
              <w:rPr>
                <w:rFonts w:hint="eastAsia" w:ascii="仿宋_GB2312" w:hAnsi="宋体" w:eastAsia="仿宋_GB2312" w:cs="宋体"/>
                <w:color w:val="auto"/>
                <w:kern w:val="0"/>
                <w:sz w:val="20"/>
                <w:szCs w:val="20"/>
              </w:rPr>
              <w:t>个硅产业项目</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商洛铀矿资源开发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利用铀矿资源，建设铀矿开采生产线和铀矿初加工生产线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柞水大西沟菱铁矿采选工程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在现有</w:t>
            </w:r>
            <w:r>
              <w:rPr>
                <w:rFonts w:eastAsia="仿宋_GB2312"/>
                <w:color w:val="auto"/>
                <w:kern w:val="0"/>
                <w:sz w:val="20"/>
                <w:szCs w:val="20"/>
              </w:rPr>
              <w:t>2×90</w:t>
            </w:r>
            <w:r>
              <w:rPr>
                <w:rFonts w:hint="eastAsia" w:ascii="仿宋_GB2312" w:hAnsi="宋体" w:eastAsia="仿宋_GB2312" w:cs="宋体"/>
                <w:color w:val="auto"/>
                <w:kern w:val="0"/>
                <w:sz w:val="20"/>
                <w:szCs w:val="20"/>
              </w:rPr>
              <w:t>万吨试验项目的基础上，扩建年处理</w:t>
            </w:r>
            <w:r>
              <w:rPr>
                <w:rFonts w:eastAsia="仿宋_GB2312"/>
                <w:color w:val="auto"/>
                <w:kern w:val="0"/>
                <w:sz w:val="20"/>
                <w:szCs w:val="20"/>
              </w:rPr>
              <w:t>800</w:t>
            </w:r>
            <w:r>
              <w:rPr>
                <w:rFonts w:hint="eastAsia" w:ascii="仿宋_GB2312" w:hAnsi="宋体" w:eastAsia="仿宋_GB2312" w:cs="宋体"/>
                <w:color w:val="auto"/>
                <w:kern w:val="0"/>
                <w:sz w:val="20"/>
                <w:szCs w:val="20"/>
              </w:rPr>
              <w:t>万吨菱铁矿采选，年产铁精粉</w:t>
            </w:r>
            <w:r>
              <w:rPr>
                <w:rFonts w:eastAsia="仿宋_GB2312"/>
                <w:color w:val="auto"/>
                <w:kern w:val="0"/>
                <w:sz w:val="20"/>
                <w:szCs w:val="20"/>
              </w:rPr>
              <w:t>265</w:t>
            </w:r>
            <w:r>
              <w:rPr>
                <w:rFonts w:hint="eastAsia" w:ascii="仿宋_GB2312" w:hAnsi="宋体" w:eastAsia="仿宋_GB2312" w:cs="宋体"/>
                <w:color w:val="auto"/>
                <w:kern w:val="0"/>
                <w:sz w:val="20"/>
                <w:szCs w:val="20"/>
              </w:rPr>
              <w:t>万吨，使总规模达到年产</w:t>
            </w:r>
            <w:r>
              <w:rPr>
                <w:rFonts w:eastAsia="仿宋_GB2312"/>
                <w:color w:val="auto"/>
                <w:kern w:val="0"/>
                <w:sz w:val="20"/>
                <w:szCs w:val="20"/>
              </w:rPr>
              <w:t>325</w:t>
            </w:r>
            <w:r>
              <w:rPr>
                <w:rFonts w:hint="eastAsia" w:ascii="仿宋_GB2312" w:hAnsi="宋体" w:eastAsia="仿宋_GB2312" w:cs="宋体"/>
                <w:color w:val="auto"/>
                <w:kern w:val="0"/>
                <w:sz w:val="20"/>
                <w:szCs w:val="20"/>
              </w:rPr>
              <w:t>万吨，并对尾矿实施再利用</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柞水县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柞水钛产品开发生产线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3</w:t>
            </w:r>
            <w:r>
              <w:rPr>
                <w:rFonts w:hint="eastAsia" w:ascii="仿宋_GB2312" w:hAnsi="宋体" w:eastAsia="仿宋_GB2312" w:cs="宋体"/>
                <w:color w:val="auto"/>
                <w:kern w:val="0"/>
                <w:sz w:val="20"/>
                <w:szCs w:val="20"/>
              </w:rPr>
              <w:t>万吨海绵钛生产线和年产</w:t>
            </w:r>
            <w:r>
              <w:rPr>
                <w:rFonts w:eastAsia="仿宋_GB2312"/>
                <w:color w:val="auto"/>
                <w:kern w:val="0"/>
                <w:sz w:val="20"/>
                <w:szCs w:val="20"/>
              </w:rPr>
              <w:t>10</w:t>
            </w:r>
            <w:r>
              <w:rPr>
                <w:rFonts w:hint="eastAsia" w:ascii="仿宋_GB2312" w:hAnsi="宋体" w:eastAsia="仿宋_GB2312" w:cs="宋体"/>
                <w:color w:val="auto"/>
                <w:kern w:val="0"/>
                <w:sz w:val="20"/>
                <w:szCs w:val="20"/>
              </w:rPr>
              <w:t>万吨氯化钛白粉生产线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柞水县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商洛延长氟硅产业园（二期）</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在一期无水氟化氢等项目的基础上，延长产业链条，建设氟碳涂料、氟树脂等氟系列产品</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商洛农用薄膜生产线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5</w:t>
            </w:r>
            <w:r>
              <w:rPr>
                <w:rFonts w:hint="eastAsia" w:ascii="仿宋_GB2312" w:hAnsi="宋体" w:eastAsia="仿宋_GB2312" w:cs="宋体"/>
                <w:color w:val="auto"/>
                <w:kern w:val="0"/>
                <w:sz w:val="20"/>
                <w:szCs w:val="20"/>
              </w:rPr>
              <w:t>万吨超细绢云母工程填料、</w:t>
            </w:r>
            <w:r>
              <w:rPr>
                <w:rFonts w:eastAsia="仿宋_GB2312"/>
                <w:color w:val="auto"/>
                <w:kern w:val="0"/>
                <w:sz w:val="20"/>
                <w:szCs w:val="20"/>
              </w:rPr>
              <w:t>5</w:t>
            </w:r>
            <w:r>
              <w:rPr>
                <w:rFonts w:hint="eastAsia" w:ascii="仿宋_GB2312" w:hAnsi="宋体" w:eastAsia="仿宋_GB2312" w:cs="宋体"/>
                <w:color w:val="auto"/>
                <w:kern w:val="0"/>
                <w:sz w:val="20"/>
                <w:szCs w:val="20"/>
              </w:rPr>
              <w:t>万吨纳米无机非金属新材料、</w:t>
            </w:r>
            <w:r>
              <w:rPr>
                <w:rFonts w:eastAsia="仿宋_GB2312"/>
                <w:color w:val="auto"/>
                <w:kern w:val="0"/>
                <w:sz w:val="20"/>
                <w:szCs w:val="20"/>
              </w:rPr>
              <w:t>20</w:t>
            </w:r>
            <w:r>
              <w:rPr>
                <w:rFonts w:hint="eastAsia" w:ascii="仿宋_GB2312" w:hAnsi="宋体" w:eastAsia="仿宋_GB2312" w:cs="宋体"/>
                <w:color w:val="auto"/>
                <w:kern w:val="0"/>
                <w:sz w:val="20"/>
                <w:szCs w:val="20"/>
              </w:rPr>
              <w:t>万吨可降解母料、</w:t>
            </w:r>
            <w:r>
              <w:rPr>
                <w:rFonts w:eastAsia="仿宋_GB2312"/>
                <w:color w:val="auto"/>
                <w:kern w:val="0"/>
                <w:sz w:val="20"/>
                <w:szCs w:val="20"/>
              </w:rPr>
              <w:t>20</w:t>
            </w:r>
            <w:r>
              <w:rPr>
                <w:rFonts w:hint="eastAsia" w:ascii="仿宋_GB2312" w:hAnsi="宋体" w:eastAsia="仿宋_GB2312" w:cs="宋体"/>
                <w:color w:val="auto"/>
                <w:kern w:val="0"/>
                <w:sz w:val="20"/>
                <w:szCs w:val="20"/>
              </w:rPr>
              <w:t>万吨可降解农用薄膜生产线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商洛钼钨产业园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利用丰富的钼钨资源，建设日处理</w:t>
            </w:r>
            <w:r>
              <w:rPr>
                <w:rFonts w:eastAsia="仿宋_GB2312"/>
                <w:color w:val="auto"/>
                <w:kern w:val="0"/>
                <w:sz w:val="20"/>
                <w:szCs w:val="20"/>
              </w:rPr>
              <w:t>1000</w:t>
            </w:r>
            <w:r>
              <w:rPr>
                <w:rFonts w:hint="eastAsia" w:ascii="仿宋_GB2312" w:hAnsi="宋体" w:eastAsia="仿宋_GB2312" w:cs="宋体"/>
                <w:color w:val="auto"/>
                <w:kern w:val="0"/>
                <w:sz w:val="20"/>
                <w:szCs w:val="20"/>
              </w:rPr>
              <w:t>吨钨矿、钼钨合金生产线及配套设施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商洛锌产业链延伸</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依托商洛炼锌厂，建设建设年产</w:t>
            </w:r>
            <w:r>
              <w:rPr>
                <w:rFonts w:eastAsia="仿宋_GB2312"/>
                <w:color w:val="auto"/>
                <w:kern w:val="0"/>
                <w:sz w:val="20"/>
                <w:szCs w:val="20"/>
              </w:rPr>
              <w:t>1</w:t>
            </w:r>
            <w:r>
              <w:rPr>
                <w:rFonts w:hint="eastAsia" w:ascii="仿宋_GB2312" w:hAnsi="宋体" w:eastAsia="仿宋_GB2312" w:cs="宋体"/>
                <w:color w:val="auto"/>
                <w:kern w:val="0"/>
                <w:sz w:val="20"/>
                <w:szCs w:val="20"/>
              </w:rPr>
              <w:t>万吨电子级高纯氧化锌、锌合金、型材及下游系列产品</w:t>
            </w:r>
            <w:r>
              <w:rPr>
                <w:rFonts w:eastAsia="仿宋_GB2312"/>
                <w:color w:val="auto"/>
                <w:kern w:val="0"/>
                <w:sz w:val="20"/>
                <w:szCs w:val="20"/>
              </w:rPr>
              <w:t xml:space="preserve"> </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商洛铜材料深加工工程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w:t>
            </w:r>
            <w:r>
              <w:rPr>
                <w:rFonts w:eastAsia="仿宋_GB2312"/>
                <w:color w:val="auto"/>
                <w:kern w:val="0"/>
                <w:sz w:val="20"/>
                <w:szCs w:val="20"/>
              </w:rPr>
              <w:t>200</w:t>
            </w:r>
            <w:r>
              <w:rPr>
                <w:rFonts w:hint="eastAsia" w:ascii="仿宋_GB2312" w:hAnsi="宋体" w:eastAsia="仿宋_GB2312" w:cs="宋体"/>
                <w:color w:val="auto"/>
                <w:kern w:val="0"/>
                <w:sz w:val="20"/>
                <w:szCs w:val="20"/>
              </w:rPr>
              <w:t>亩，建设年产</w:t>
            </w:r>
            <w:r>
              <w:rPr>
                <w:rFonts w:eastAsia="仿宋_GB2312"/>
                <w:color w:val="auto"/>
                <w:kern w:val="0"/>
                <w:sz w:val="20"/>
                <w:szCs w:val="20"/>
              </w:rPr>
              <w:t>10</w:t>
            </w:r>
            <w:r>
              <w:rPr>
                <w:rFonts w:hint="eastAsia" w:ascii="仿宋_GB2312" w:hAnsi="宋体" w:eastAsia="仿宋_GB2312" w:cs="宋体"/>
                <w:color w:val="auto"/>
                <w:kern w:val="0"/>
                <w:sz w:val="20"/>
                <w:szCs w:val="20"/>
              </w:rPr>
              <w:t>万吨铜板带、合金棒材、导线、光亮铜杆、覆铜板等生产线</w:t>
            </w:r>
            <w:r>
              <w:rPr>
                <w:rFonts w:eastAsia="仿宋_GB2312"/>
                <w:color w:val="auto"/>
                <w:kern w:val="0"/>
                <w:sz w:val="20"/>
                <w:szCs w:val="20"/>
              </w:rPr>
              <w:t xml:space="preserve">  </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商洛钢结构生产线</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实施矿钢一体化战略，加快发展下游产品，建设年产</w:t>
            </w:r>
            <w:r>
              <w:rPr>
                <w:rFonts w:eastAsia="仿宋_GB2312"/>
                <w:color w:val="auto"/>
                <w:kern w:val="0"/>
                <w:sz w:val="20"/>
                <w:szCs w:val="20"/>
              </w:rPr>
              <w:t>20</w:t>
            </w:r>
            <w:r>
              <w:rPr>
                <w:rFonts w:hint="eastAsia" w:ascii="仿宋_GB2312" w:hAnsi="宋体" w:eastAsia="仿宋_GB2312" w:cs="宋体"/>
                <w:color w:val="auto"/>
                <w:kern w:val="0"/>
                <w:sz w:val="20"/>
                <w:szCs w:val="20"/>
              </w:rPr>
              <w:t>万吨钢结构件生产线及配套</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商南节能玻璃门窗生产线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w:t>
            </w:r>
            <w:r>
              <w:rPr>
                <w:rFonts w:eastAsia="仿宋_GB2312"/>
                <w:color w:val="auto"/>
                <w:kern w:val="0"/>
                <w:sz w:val="20"/>
                <w:szCs w:val="20"/>
              </w:rPr>
              <w:t>300</w:t>
            </w:r>
            <w:r>
              <w:rPr>
                <w:rFonts w:hint="eastAsia" w:ascii="仿宋_GB2312" w:hAnsi="宋体" w:eastAsia="仿宋_GB2312" w:cs="宋体"/>
                <w:color w:val="auto"/>
                <w:kern w:val="0"/>
                <w:sz w:val="20"/>
                <w:szCs w:val="20"/>
              </w:rPr>
              <w:t>万平方米环保技能优质低耗能玻璃生产线，建设厂房</w:t>
            </w:r>
            <w:r>
              <w:rPr>
                <w:rFonts w:eastAsia="仿宋_GB2312"/>
                <w:color w:val="auto"/>
                <w:kern w:val="0"/>
                <w:sz w:val="20"/>
                <w:szCs w:val="20"/>
              </w:rPr>
              <w:t>2</w:t>
            </w:r>
            <w:r>
              <w:rPr>
                <w:rFonts w:hint="eastAsia" w:ascii="仿宋_GB2312" w:hAnsi="宋体" w:eastAsia="仿宋_GB2312" w:cs="宋体"/>
                <w:color w:val="auto"/>
                <w:kern w:val="0"/>
                <w:sz w:val="20"/>
                <w:szCs w:val="20"/>
              </w:rPr>
              <w:t>座、办公楼</w:t>
            </w:r>
            <w:r>
              <w:rPr>
                <w:rFonts w:eastAsia="仿宋_GB2312"/>
                <w:color w:val="auto"/>
                <w:kern w:val="0"/>
                <w:sz w:val="20"/>
                <w:szCs w:val="20"/>
              </w:rPr>
              <w:t>1</w:t>
            </w:r>
            <w:r>
              <w:rPr>
                <w:rFonts w:hint="eastAsia" w:ascii="仿宋_GB2312" w:hAnsi="宋体" w:eastAsia="仿宋_GB2312" w:cs="宋体"/>
                <w:color w:val="auto"/>
                <w:kern w:val="0"/>
                <w:sz w:val="20"/>
                <w:szCs w:val="20"/>
              </w:rPr>
              <w:t>座、宿舍楼</w:t>
            </w:r>
            <w:r>
              <w:rPr>
                <w:rFonts w:eastAsia="仿宋_GB2312"/>
                <w:color w:val="auto"/>
                <w:kern w:val="0"/>
                <w:sz w:val="20"/>
                <w:szCs w:val="20"/>
              </w:rPr>
              <w:t>1</w:t>
            </w:r>
            <w:r>
              <w:rPr>
                <w:rFonts w:hint="eastAsia" w:ascii="仿宋_GB2312" w:hAnsi="宋体" w:eastAsia="仿宋_GB2312" w:cs="宋体"/>
                <w:color w:val="auto"/>
                <w:kern w:val="0"/>
                <w:sz w:val="20"/>
                <w:szCs w:val="20"/>
              </w:rPr>
              <w:t>座及配套辅助工程设施，购置配套设备</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玻璃钢夹砂管及电加热玻璃钢储罐生产线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年产</w:t>
            </w:r>
            <w:r>
              <w:rPr>
                <w:rFonts w:eastAsia="仿宋_GB2312"/>
                <w:color w:val="auto"/>
                <w:kern w:val="0"/>
                <w:sz w:val="20"/>
                <w:szCs w:val="20"/>
              </w:rPr>
              <w:t>6</w:t>
            </w:r>
            <w:r>
              <w:rPr>
                <w:rFonts w:hint="eastAsia" w:ascii="仿宋_GB2312" w:hAnsi="宋体" w:eastAsia="仿宋_GB2312" w:cs="宋体"/>
                <w:color w:val="auto"/>
                <w:kern w:val="0"/>
                <w:sz w:val="20"/>
                <w:szCs w:val="20"/>
              </w:rPr>
              <w:t>万吨玻璃钢夹砂管及电加热玻璃钢储罐</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岚皋县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略阳非金属循环经济产业园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35</w:t>
            </w:r>
            <w:r>
              <w:rPr>
                <w:rFonts w:hint="eastAsia" w:ascii="仿宋_GB2312" w:hAnsi="宋体" w:eastAsia="仿宋_GB2312" w:cs="宋体"/>
                <w:color w:val="auto"/>
                <w:kern w:val="0"/>
                <w:sz w:val="20"/>
                <w:szCs w:val="20"/>
              </w:rPr>
              <w:t>千伏输变电及配套工程；建设园区道路</w:t>
            </w:r>
            <w:r>
              <w:rPr>
                <w:rFonts w:eastAsia="仿宋_GB2312"/>
                <w:color w:val="auto"/>
                <w:kern w:val="0"/>
                <w:sz w:val="20"/>
                <w:szCs w:val="20"/>
              </w:rPr>
              <w:t>20</w:t>
            </w:r>
            <w:r>
              <w:rPr>
                <w:rFonts w:hint="eastAsia" w:ascii="仿宋_GB2312" w:hAnsi="宋体" w:eastAsia="仿宋_GB2312" w:cs="宋体"/>
                <w:color w:val="auto"/>
                <w:kern w:val="0"/>
                <w:sz w:val="20"/>
                <w:szCs w:val="20"/>
              </w:rPr>
              <w:t>公里，开挖回填、挡墙护坡及绿化工程；建设园区给排水及污水处理工程</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略阳县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秦巴特色中药材加工园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建设中药材饮片、中药材提取物、中成药制剂等中药材深加工生产线，同时配套建设中药储藏库、调配库、研发中心及配套设施等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柞水县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安康钛铁矿开采及加工</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建设年处理矿石</w:t>
            </w:r>
            <w:r>
              <w:rPr>
                <w:rFonts w:eastAsia="仿宋_GB2312"/>
                <w:color w:val="auto"/>
                <w:kern w:val="0"/>
                <w:sz w:val="20"/>
                <w:szCs w:val="20"/>
              </w:rPr>
              <w:t>2000</w:t>
            </w:r>
            <w:r>
              <w:rPr>
                <w:rFonts w:hint="eastAsia" w:ascii="仿宋_GB2312" w:hAnsi="宋体" w:eastAsia="仿宋_GB2312" w:cs="宋体"/>
                <w:color w:val="auto"/>
                <w:kern w:val="0"/>
                <w:sz w:val="20"/>
                <w:szCs w:val="20"/>
              </w:rPr>
              <w:t>万吨、年产矿精粉</w:t>
            </w:r>
            <w:r>
              <w:rPr>
                <w:rFonts w:eastAsia="仿宋_GB2312"/>
                <w:color w:val="auto"/>
                <w:kern w:val="0"/>
                <w:sz w:val="20"/>
                <w:szCs w:val="20"/>
              </w:rPr>
              <w:t>50</w:t>
            </w:r>
            <w:r>
              <w:rPr>
                <w:rFonts w:hint="eastAsia" w:ascii="仿宋_GB2312" w:hAnsi="宋体" w:eastAsia="仿宋_GB2312" w:cs="宋体"/>
                <w:color w:val="auto"/>
                <w:kern w:val="0"/>
                <w:sz w:val="20"/>
                <w:szCs w:val="20"/>
              </w:rPr>
              <w:t>万吨的选矿厂生产线；建设</w:t>
            </w:r>
            <w:r>
              <w:rPr>
                <w:rFonts w:eastAsia="仿宋_GB2312"/>
                <w:color w:val="auto"/>
                <w:kern w:val="0"/>
                <w:sz w:val="20"/>
                <w:szCs w:val="20"/>
              </w:rPr>
              <w:t>1</w:t>
            </w:r>
            <w:r>
              <w:rPr>
                <w:rFonts w:hint="eastAsia" w:ascii="仿宋_GB2312" w:hAnsi="宋体" w:eastAsia="仿宋_GB2312" w:cs="宋体"/>
                <w:color w:val="auto"/>
                <w:kern w:val="0"/>
                <w:sz w:val="20"/>
                <w:szCs w:val="20"/>
              </w:rPr>
              <w:t>个</w:t>
            </w:r>
            <w:r>
              <w:rPr>
                <w:rFonts w:eastAsia="仿宋_GB2312"/>
                <w:color w:val="auto"/>
                <w:kern w:val="0"/>
                <w:sz w:val="20"/>
                <w:szCs w:val="20"/>
              </w:rPr>
              <w:t>1000</w:t>
            </w:r>
            <w:r>
              <w:rPr>
                <w:rFonts w:hint="eastAsia" w:ascii="仿宋_GB2312" w:hAnsi="宋体" w:eastAsia="仿宋_GB2312" w:cs="宋体"/>
                <w:color w:val="auto"/>
                <w:kern w:val="0"/>
                <w:sz w:val="20"/>
                <w:szCs w:val="20"/>
              </w:rPr>
              <w:t>立方米的炼铁炉，年产钢铁</w:t>
            </w:r>
            <w:r>
              <w:rPr>
                <w:rFonts w:eastAsia="仿宋_GB2312"/>
                <w:color w:val="auto"/>
                <w:kern w:val="0"/>
                <w:sz w:val="20"/>
                <w:szCs w:val="20"/>
              </w:rPr>
              <w:t>10</w:t>
            </w:r>
            <w:r>
              <w:rPr>
                <w:rFonts w:hint="eastAsia" w:ascii="仿宋_GB2312" w:hAnsi="宋体" w:eastAsia="仿宋_GB2312" w:cs="宋体"/>
                <w:color w:val="auto"/>
                <w:kern w:val="0"/>
                <w:sz w:val="20"/>
                <w:szCs w:val="20"/>
              </w:rPr>
              <w:t>万吨，建设附属配套设施、矿区公路和</w:t>
            </w:r>
            <w:r>
              <w:rPr>
                <w:rFonts w:eastAsia="仿宋_GB2312"/>
                <w:color w:val="auto"/>
                <w:kern w:val="0"/>
                <w:sz w:val="20"/>
                <w:szCs w:val="20"/>
              </w:rPr>
              <w:t>35</w:t>
            </w:r>
            <w:r>
              <w:rPr>
                <w:rFonts w:hint="eastAsia" w:ascii="仿宋_GB2312" w:hAnsi="宋体" w:eastAsia="仿宋_GB2312" w:cs="宋体"/>
                <w:color w:val="auto"/>
                <w:kern w:val="0"/>
                <w:sz w:val="20"/>
                <w:szCs w:val="20"/>
              </w:rPr>
              <w:t>千伏输变电线路</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紫阳县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2018-2020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平利昊华国防装备专业添加剂生产线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新建年产</w:t>
            </w:r>
            <w:r>
              <w:rPr>
                <w:rFonts w:eastAsia="仿宋_GB2312"/>
                <w:color w:val="auto"/>
                <w:kern w:val="0"/>
                <w:sz w:val="20"/>
                <w:szCs w:val="20"/>
              </w:rPr>
              <w:t>20</w:t>
            </w:r>
            <w:r>
              <w:rPr>
                <w:rFonts w:hint="eastAsia" w:ascii="仿宋_GB2312" w:hAnsi="宋体" w:eastAsia="仿宋_GB2312" w:cs="宋体"/>
                <w:color w:val="auto"/>
                <w:kern w:val="0"/>
                <w:sz w:val="20"/>
                <w:szCs w:val="20"/>
              </w:rPr>
              <w:t>万吨超细硫酸钡和改性硫酸钡生产线</w:t>
            </w:r>
            <w:r>
              <w:rPr>
                <w:rFonts w:eastAsia="仿宋_GB2312"/>
                <w:color w:val="auto"/>
                <w:kern w:val="0"/>
                <w:sz w:val="20"/>
                <w:szCs w:val="20"/>
              </w:rPr>
              <w:t>2</w:t>
            </w:r>
            <w:r>
              <w:rPr>
                <w:rFonts w:hint="eastAsia" w:ascii="仿宋_GB2312" w:hAnsi="宋体" w:eastAsia="仿宋_GB2312" w:cs="宋体"/>
                <w:color w:val="auto"/>
                <w:kern w:val="0"/>
                <w:sz w:val="20"/>
                <w:szCs w:val="20"/>
              </w:rPr>
              <w:t>条，扩建厂房</w:t>
            </w:r>
            <w:r>
              <w:rPr>
                <w:rFonts w:eastAsia="仿宋_GB2312"/>
                <w:color w:val="auto"/>
                <w:kern w:val="0"/>
                <w:sz w:val="20"/>
                <w:szCs w:val="20"/>
              </w:rPr>
              <w:t>1</w:t>
            </w:r>
            <w:r>
              <w:rPr>
                <w:rFonts w:hint="eastAsia" w:ascii="仿宋_GB2312" w:hAnsi="宋体" w:eastAsia="仿宋_GB2312" w:cs="宋体"/>
                <w:color w:val="auto"/>
                <w:kern w:val="0"/>
                <w:sz w:val="20"/>
                <w:szCs w:val="20"/>
              </w:rPr>
              <w:t>万平方米，对现有装备实施技术改造，配套建设辅助设施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通用直升飞机及航空配件研发生产</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建设通用直升飞机及航空配件生产线，及相关配套设施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旬阳县装备制造循环产业园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扩建专用车制造、汽车配件加工及铸造生产线。年产专用车5000辆，环卫产品5000辆；年产12万吨汽车配件，5万台/套农业机械；回收废旧钢铁10万吨，年产5万吨球墨铸造产能规模</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铝镁合金汽车轮毂制造生产线</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新建铝镁合金汽车轮毂制造生产线，年产汽车轮毂200万件</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汽车、摩托车零部件加工产业园</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依托湖北汽车城等区域建设汽车、摩托车零部件加工产业园</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重型汽车前轴智能一次成型生产线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建设年产5万件/套智能自动化重型汽车前轴生产线，及相关配套设施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电线电缆电子元器件加工产业园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项目规划面积200亩，重点引进具有低烟、无卤、阻燃等特点的各种规格高压、超高压电线电缆生产、加工与销售企业</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工业机器人研发制造</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年生产机器人1000台，机器人生产车间、自动化示范生产线电子业组装产品车间等1万平方米</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运动器材生产加工</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建跑步机、单双杠、天梯、摇摆机、梅花桩、杠铃、扭腰盘、握力器、腹力器、秋千、固定自行车等生产线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镁合金平板电脑及手机外壳压铸生产线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新建镁合金压铸生产线、年产镁合金平板电脑及手机外壳20万套</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自动机械立体停车场（库）生产线</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建设年产6000套自动机械立体式停车场（库）生产线，及配套设施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白河木瓜产品深加工</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在全县建设10万亩木瓜产业基地及良种培育、病虫害防治、检测服务体系；引进先进技术工艺，进行木瓜饮品、酒、醋、精油、化妆品、多酶高蛋白等系列产品开发及销售网络建设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白河县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白河中药材深加工</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发展中药材产业基地3万亩，建立良种繁育及技术服务体系；建设板蓝根、丹参酮、黄体酮等中药材提取物生产线，中药饮片中成药颗粒、制剂生产线等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白河县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白河大理石开发及石材深加工园区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建设年产5万立方米大理石开采生产线，建成年加工3万平方米大理石系列新型建材产业园</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白河县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宁陕魔芋生产基地建设</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发展魔芋基地20000亩，建设加工企业1个，初加工点5个</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134</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宁陕现代农业示范园区</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建设滨海、天河、皇冠、金川、绿宝、秦林壹号等现代农业示范园8个</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135</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宁陕食用菌开发生产</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发展有机食用菌和食用菌各1600万袋，建成有机（富硒）食用菌生产品种繁育与推广交易中心1处</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宁陕工业集中区基础设施建设</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平整土地500亩，道路5公里，防洪河堤建设2615米。标准化厂房建设10座20000平方米，配套给排水、电力、路灯、通讯及绿化等基础设施建设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宁陕“飞地经济”产业园区基础设施建设</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整土地1000亩，建设中心大道1100米，园区一路768米，园区二路820米。建设标准化厂房60000平方米，安装供水、排水、中水、燃气、电力、通信管道各3500米，路灯320盏，新建绿地10.32平方米，建设与工程相关的配套及附属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7" w:type="dxa"/>
            <w:tcBorders>
              <w:top w:val="nil"/>
              <w:left w:val="single" w:color="auto" w:sz="4" w:space="0"/>
              <w:bottom w:val="single" w:color="auto" w:sz="4" w:space="0"/>
              <w:right w:val="nil"/>
            </w:tcBorders>
            <w:noWrap w:val="0"/>
            <w:vAlign w:val="center"/>
          </w:tcPr>
          <w:p>
            <w:pPr>
              <w:widowControl/>
              <w:spacing w:line="240" w:lineRule="auto"/>
              <w:ind w:firstLine="0" w:firstLineChars="0"/>
              <w:jc w:val="left"/>
              <w:rPr>
                <w:rFonts w:ascii="黑体" w:hAnsi="黑体" w:eastAsia="黑体" w:cs="宋体"/>
                <w:color w:val="auto"/>
                <w:kern w:val="0"/>
                <w:sz w:val="20"/>
                <w:szCs w:val="20"/>
              </w:rPr>
            </w:pPr>
            <w:r>
              <w:rPr>
                <w:rFonts w:hint="eastAsia" w:ascii="黑体" w:hAnsi="黑体" w:eastAsia="黑体" w:cs="宋体"/>
                <w:color w:val="auto"/>
                <w:kern w:val="0"/>
                <w:sz w:val="20"/>
                <w:szCs w:val="20"/>
              </w:rPr>
              <w:t>三</w:t>
            </w:r>
          </w:p>
        </w:tc>
        <w:tc>
          <w:tcPr>
            <w:tcW w:w="3610" w:type="dxa"/>
            <w:tcBorders>
              <w:top w:val="nil"/>
              <w:left w:val="single" w:color="auto" w:sz="4" w:space="0"/>
              <w:bottom w:val="single" w:color="auto" w:sz="4" w:space="0"/>
              <w:right w:val="nil"/>
            </w:tcBorders>
            <w:noWrap w:val="0"/>
            <w:vAlign w:val="center"/>
          </w:tcPr>
          <w:p>
            <w:pPr>
              <w:widowControl/>
              <w:spacing w:line="240" w:lineRule="auto"/>
              <w:ind w:firstLine="0" w:firstLineChars="0"/>
              <w:jc w:val="left"/>
              <w:rPr>
                <w:rFonts w:ascii="黑体" w:hAnsi="黑体" w:eastAsia="黑体" w:cs="宋体"/>
                <w:color w:val="auto"/>
                <w:kern w:val="0"/>
                <w:sz w:val="20"/>
                <w:szCs w:val="20"/>
              </w:rPr>
            </w:pPr>
            <w:r>
              <w:rPr>
                <w:rFonts w:hint="eastAsia" w:ascii="黑体" w:hAnsi="黑体" w:eastAsia="黑体" w:cs="宋体"/>
                <w:color w:val="auto"/>
                <w:kern w:val="0"/>
                <w:sz w:val="20"/>
                <w:szCs w:val="20"/>
              </w:rPr>
              <w:t>现代服务业工程（7</w:t>
            </w:r>
            <w:r>
              <w:rPr>
                <w:rFonts w:hint="eastAsia" w:ascii="黑体" w:hAnsi="黑体" w:eastAsia="黑体" w:cs="宋体"/>
                <w:color w:val="auto"/>
                <w:kern w:val="0"/>
                <w:sz w:val="20"/>
                <w:szCs w:val="20"/>
                <w:lang w:val="en-US" w:eastAsia="zh-CN"/>
              </w:rPr>
              <w:t>4</w:t>
            </w:r>
            <w:r>
              <w:rPr>
                <w:rFonts w:hint="eastAsia" w:ascii="黑体" w:hAnsi="黑体" w:eastAsia="黑体" w:cs="宋体"/>
                <w:color w:val="auto"/>
                <w:kern w:val="0"/>
                <w:sz w:val="20"/>
                <w:szCs w:val="20"/>
              </w:rPr>
              <w:t>项）</w:t>
            </w:r>
          </w:p>
        </w:tc>
        <w:tc>
          <w:tcPr>
            <w:tcW w:w="71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　</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　</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　</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hint="eastAsia" w:eastAsia="宋体"/>
                <w:color w:val="auto"/>
                <w:kern w:val="0"/>
                <w:sz w:val="20"/>
                <w:szCs w:val="20"/>
              </w:rPr>
              <w:t>20</w:t>
            </w:r>
            <w:r>
              <w:rPr>
                <w:rFonts w:hint="eastAsia" w:eastAsia="宋体"/>
                <w:color w:val="auto"/>
                <w:kern w:val="0"/>
                <w:sz w:val="20"/>
                <w:szCs w:val="20"/>
                <w:lang w:val="en-US" w:eastAsia="zh-CN"/>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hint="eastAsia" w:eastAsia="宋体"/>
                <w:color w:val="auto"/>
                <w:kern w:val="0"/>
                <w:sz w:val="20"/>
                <w:szCs w:val="20"/>
              </w:rPr>
              <w:t>1</w:t>
            </w:r>
            <w:r>
              <w:rPr>
                <w:rFonts w:hint="eastAsia" w:eastAsia="宋体"/>
                <w:color w:val="auto"/>
                <w:kern w:val="0"/>
                <w:sz w:val="20"/>
                <w:szCs w:val="20"/>
                <w:lang w:val="en-US" w:eastAsia="zh-CN"/>
              </w:rPr>
              <w:t>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汉中金融城</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打造成国内外高能级金融总部机构，发展银行、证券、基金、保险和资产管理等主体金融产业的金融集聚区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滨江新区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汉中亿丰国际商贸城</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建设安置楼、写字楼、精品百货、大型购物商城、时尚步行街、高档住宅、休闲娱乐等功能为一体的高端城市综合体</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秦巴中药材仓储物流中心</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新建仓储配送中心、电子商务中心、中药材粗加工中心、办公楼及相关配套设施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商南秦豫鄂物流产业园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建设仓储加工、省际快递分拨中心、铁路物流转运中心、电子商务中心、物流信息中心、现代物流服务外包中心、人才培训中、物流园区服务中心为一体的大型综合物流产业园</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陕鄂渝平利物流中心</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新建农副产品及工业产品集散仓储仓库</w:t>
            </w:r>
            <w:r>
              <w:rPr>
                <w:rFonts w:eastAsia="仿宋_GB2312"/>
                <w:color w:val="auto"/>
                <w:kern w:val="0"/>
                <w:sz w:val="20"/>
                <w:szCs w:val="20"/>
              </w:rPr>
              <w:t>21</w:t>
            </w:r>
            <w:r>
              <w:rPr>
                <w:rFonts w:hint="eastAsia" w:ascii="仿宋_GB2312" w:hAnsi="宋体" w:eastAsia="仿宋_GB2312" w:cs="宋体"/>
                <w:color w:val="auto"/>
                <w:kern w:val="0"/>
                <w:sz w:val="20"/>
                <w:szCs w:val="20"/>
              </w:rPr>
              <w:t>个，农村电子商务综合服务中心、物流信息处理中心及服务网点</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143</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中国西北（安康）国际天贸物流城</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总建筑面积</w:t>
            </w:r>
            <w:r>
              <w:rPr>
                <w:rFonts w:eastAsia="仿宋_GB2312"/>
                <w:color w:val="auto"/>
                <w:kern w:val="0"/>
                <w:sz w:val="20"/>
                <w:szCs w:val="20"/>
              </w:rPr>
              <w:t>60</w:t>
            </w:r>
            <w:r>
              <w:rPr>
                <w:rFonts w:hint="eastAsia" w:ascii="仿宋_GB2312" w:hAnsi="宋体" w:eastAsia="仿宋_GB2312" w:cs="宋体"/>
                <w:color w:val="auto"/>
                <w:kern w:val="0"/>
                <w:sz w:val="20"/>
                <w:szCs w:val="20"/>
              </w:rPr>
              <w:t>万平方米，建设商品交易、网商展贸、仓储、智能物流、金融服务、电子商务、综合配套服务等功能区</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2014-2017</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144</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商山物流园（二期）</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新建两条铁路专用线，设立商洛口岸、海关设施，建设仓储区建筑面积</w:t>
            </w:r>
            <w:r>
              <w:rPr>
                <w:rFonts w:eastAsia="仿宋_GB2312"/>
                <w:color w:val="auto"/>
                <w:kern w:val="0"/>
                <w:sz w:val="20"/>
                <w:szCs w:val="20"/>
              </w:rPr>
              <w:t>23900</w:t>
            </w:r>
            <w:r>
              <w:rPr>
                <w:rFonts w:hint="eastAsia" w:ascii="仿宋_GB2312" w:hAnsi="宋体" w:eastAsia="仿宋_GB2312" w:cs="宋体"/>
                <w:color w:val="auto"/>
                <w:kern w:val="0"/>
                <w:sz w:val="20"/>
                <w:szCs w:val="20"/>
              </w:rPr>
              <w:t>平方米</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商洛市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商丹园区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安康宝业物流仓储配送中心</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12</w:t>
            </w:r>
            <w:r>
              <w:rPr>
                <w:rFonts w:hint="eastAsia" w:ascii="仿宋_GB2312" w:hAnsi="宋体" w:eastAsia="仿宋_GB2312" w:cs="宋体"/>
                <w:color w:val="auto"/>
                <w:kern w:val="0"/>
                <w:sz w:val="20"/>
                <w:szCs w:val="20"/>
              </w:rPr>
              <w:t>万平方米仓储物流园，购置运输车辆、设备等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汉中褒河物流园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建设综合性物流园区，园区设置信息和调度指挥中心、仓储、加工区、汉中特色产品展示交易区、口岸物流区、应急物流区、铁路货运区、管理中心及生活服务区等功能区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2013-2020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291</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汉中普汇中金世界港</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建设集商贸流通、仓储物流、综合办公配套设备于一体的规模性商贸物流园区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安康恒口铁路物流基地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成件包装货物线</w:t>
            </w:r>
            <w:r>
              <w:rPr>
                <w:rFonts w:eastAsia="仿宋_GB2312"/>
                <w:color w:val="auto"/>
                <w:kern w:val="0"/>
                <w:sz w:val="20"/>
                <w:szCs w:val="20"/>
              </w:rPr>
              <w:t>2</w:t>
            </w:r>
            <w:r>
              <w:rPr>
                <w:rFonts w:hint="eastAsia" w:ascii="仿宋_GB2312" w:hAnsi="宋体" w:eastAsia="仿宋_GB2312" w:cs="宋体"/>
                <w:color w:val="auto"/>
                <w:kern w:val="0"/>
                <w:sz w:val="20"/>
                <w:szCs w:val="20"/>
              </w:rPr>
              <w:t>条，集装箱兼笨大货物线</w:t>
            </w:r>
            <w:r>
              <w:rPr>
                <w:rFonts w:eastAsia="仿宋_GB2312"/>
                <w:color w:val="auto"/>
                <w:kern w:val="0"/>
                <w:sz w:val="20"/>
                <w:szCs w:val="20"/>
              </w:rPr>
              <w:t>1</w:t>
            </w:r>
            <w:r>
              <w:rPr>
                <w:rFonts w:hint="eastAsia" w:ascii="仿宋_GB2312" w:hAnsi="宋体" w:eastAsia="仿宋_GB2312" w:cs="宋体"/>
                <w:color w:val="auto"/>
                <w:kern w:val="0"/>
                <w:sz w:val="20"/>
                <w:szCs w:val="20"/>
              </w:rPr>
              <w:t>条，散堆装货物线</w:t>
            </w:r>
            <w:r>
              <w:rPr>
                <w:rFonts w:eastAsia="仿宋_GB2312"/>
                <w:color w:val="auto"/>
                <w:kern w:val="0"/>
                <w:sz w:val="20"/>
                <w:szCs w:val="20"/>
              </w:rPr>
              <w:t>2</w:t>
            </w:r>
            <w:r>
              <w:rPr>
                <w:rFonts w:hint="eastAsia" w:ascii="仿宋_GB2312" w:hAnsi="宋体" w:eastAsia="仿宋_GB2312" w:cs="宋体"/>
                <w:color w:val="auto"/>
                <w:kern w:val="0"/>
                <w:sz w:val="20"/>
                <w:szCs w:val="20"/>
              </w:rPr>
              <w:t>条、特货装卸线</w:t>
            </w:r>
            <w:r>
              <w:rPr>
                <w:rFonts w:eastAsia="仿宋_GB2312"/>
                <w:color w:val="auto"/>
                <w:kern w:val="0"/>
                <w:sz w:val="20"/>
                <w:szCs w:val="20"/>
              </w:rPr>
              <w:t>2</w:t>
            </w:r>
            <w:r>
              <w:rPr>
                <w:rFonts w:hint="eastAsia" w:ascii="仿宋_GB2312" w:hAnsi="宋体" w:eastAsia="仿宋_GB2312" w:cs="宋体"/>
                <w:color w:val="auto"/>
                <w:kern w:val="0"/>
                <w:sz w:val="20"/>
                <w:szCs w:val="20"/>
              </w:rPr>
              <w:t>条</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安康市恒口示范区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褒河铁路物流基地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成件包装货物线</w:t>
            </w:r>
            <w:r>
              <w:rPr>
                <w:rFonts w:eastAsia="仿宋_GB2312"/>
                <w:color w:val="auto"/>
                <w:kern w:val="0"/>
                <w:sz w:val="20"/>
                <w:szCs w:val="20"/>
              </w:rPr>
              <w:t>2</w:t>
            </w:r>
            <w:r>
              <w:rPr>
                <w:rFonts w:hint="eastAsia" w:ascii="仿宋_GB2312" w:hAnsi="宋体" w:eastAsia="仿宋_GB2312" w:cs="宋体"/>
                <w:color w:val="auto"/>
                <w:kern w:val="0"/>
                <w:sz w:val="20"/>
                <w:szCs w:val="20"/>
              </w:rPr>
              <w:t>条，笨大兼集装箱货物线</w:t>
            </w:r>
            <w:r>
              <w:rPr>
                <w:rFonts w:eastAsia="仿宋_GB2312"/>
                <w:color w:val="auto"/>
                <w:kern w:val="0"/>
                <w:sz w:val="20"/>
                <w:szCs w:val="20"/>
              </w:rPr>
              <w:t>2</w:t>
            </w:r>
            <w:r>
              <w:rPr>
                <w:rFonts w:hint="eastAsia" w:ascii="仿宋_GB2312" w:hAnsi="宋体" w:eastAsia="仿宋_GB2312" w:cs="宋体"/>
                <w:color w:val="auto"/>
                <w:kern w:val="0"/>
                <w:sz w:val="20"/>
                <w:szCs w:val="20"/>
              </w:rPr>
              <w:t>条，散堆装货物线</w:t>
            </w:r>
            <w:r>
              <w:rPr>
                <w:rFonts w:eastAsia="仿宋_GB2312"/>
                <w:color w:val="auto"/>
                <w:kern w:val="0"/>
                <w:sz w:val="20"/>
                <w:szCs w:val="20"/>
              </w:rPr>
              <w:t>2</w:t>
            </w:r>
            <w:r>
              <w:rPr>
                <w:rFonts w:hint="eastAsia" w:ascii="仿宋_GB2312" w:hAnsi="宋体" w:eastAsia="仿宋_GB2312" w:cs="宋体"/>
                <w:color w:val="auto"/>
                <w:kern w:val="0"/>
                <w:sz w:val="20"/>
                <w:szCs w:val="20"/>
              </w:rPr>
              <w:t>条，特货装卸线</w:t>
            </w:r>
            <w:r>
              <w:rPr>
                <w:rFonts w:eastAsia="仿宋_GB2312"/>
                <w:color w:val="auto"/>
                <w:kern w:val="0"/>
                <w:sz w:val="20"/>
                <w:szCs w:val="20"/>
              </w:rPr>
              <w:t>2</w:t>
            </w:r>
            <w:r>
              <w:rPr>
                <w:rFonts w:hint="eastAsia" w:ascii="仿宋_GB2312" w:hAnsi="宋体" w:eastAsia="仿宋_GB2312" w:cs="宋体"/>
                <w:color w:val="auto"/>
                <w:kern w:val="0"/>
                <w:sz w:val="20"/>
                <w:szCs w:val="20"/>
              </w:rPr>
              <w:t>条，军用货物线</w:t>
            </w:r>
            <w:r>
              <w:rPr>
                <w:rFonts w:eastAsia="仿宋_GB2312"/>
                <w:color w:val="auto"/>
                <w:kern w:val="0"/>
                <w:sz w:val="20"/>
                <w:szCs w:val="20"/>
              </w:rPr>
              <w:t>1</w:t>
            </w:r>
            <w:r>
              <w:rPr>
                <w:rFonts w:hint="eastAsia" w:ascii="仿宋_GB2312" w:hAnsi="宋体" w:eastAsia="仿宋_GB2312" w:cs="宋体"/>
                <w:color w:val="auto"/>
                <w:kern w:val="0"/>
                <w:sz w:val="20"/>
                <w:szCs w:val="20"/>
              </w:rPr>
              <w:t>条</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w:t>
            </w:r>
            <w:r>
              <w:rPr>
                <w:rFonts w:hint="eastAsia" w:eastAsia="宋体"/>
                <w:color w:val="auto"/>
                <w:kern w:val="0"/>
                <w:sz w:val="20"/>
                <w:szCs w:val="20"/>
                <w:lang w:val="en-US" w:eastAsia="zh-CN"/>
              </w:rPr>
              <w:t>50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汉中经开区中小企业金融孵化中心</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建设证券、银行、小贷公司、再贷款、融资担保、典当、互联网金融、电商平台、融资租赁、专业配套、商业服务于一体的综合体项目</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开发区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r>
              <w:rPr>
                <w:rFonts w:hint="eastAsia" w:eastAsia="宋体"/>
                <w:color w:val="auto"/>
                <w:kern w:val="0"/>
                <w:sz w:val="20"/>
                <w:szCs w:val="20"/>
                <w:lang w:val="en-US" w:eastAsia="zh-CN"/>
              </w:rPr>
              <w:t>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安康邮政速递物流园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建设集中的集散中心和向上游延伸的电子商务以及向下游延伸的仓储服务平台，吸引邮政、顺丰、圆通、中通等快递企业入驻</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安康月河川道产业经济带</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建设月河流域沿线农业观光园区景观带、生态城、公路快速干线、基础配套及附属设施</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汉阴县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石泉农业产业综合开发基地</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打造一个集生态种植、养殖、农产品加工、休闲观光、体验农业、度假养老为一体的现代化农业综合开发基地</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安康航空铁路现代物流园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发展服务汽车、农副产品、家居建材、矿产等产业为主的生产性物流，包括综合区、居住区、居住服务区、工业仓储区等七个功能组团</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安康市恒口示范区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2018-2020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r>
              <w:rPr>
                <w:rFonts w:hint="eastAsia" w:eastAsia="宋体"/>
                <w:color w:val="auto"/>
                <w:kern w:val="0"/>
                <w:sz w:val="20"/>
                <w:szCs w:val="20"/>
                <w:lang w:val="en-US" w:eastAsia="zh-CN"/>
              </w:rPr>
              <w:t>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商洛仙娥湖旅游度假区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建设湖畔休闲区、山地体验区、生态保育区的仙娥湖生态旅游度假区，构建复合型旅游度假大容量主题化产品，打造</w:t>
            </w:r>
            <w:r>
              <w:rPr>
                <w:rFonts w:eastAsia="仿宋_GB2312"/>
                <w:color w:val="auto"/>
                <w:kern w:val="0"/>
                <w:sz w:val="20"/>
                <w:szCs w:val="20"/>
              </w:rPr>
              <w:t>“</w:t>
            </w:r>
            <w:r>
              <w:rPr>
                <w:rFonts w:hint="eastAsia" w:ascii="仿宋_GB2312" w:hAnsi="宋体" w:eastAsia="仿宋_GB2312" w:cs="宋体"/>
                <w:color w:val="auto"/>
                <w:kern w:val="0"/>
                <w:sz w:val="20"/>
                <w:szCs w:val="20"/>
              </w:rPr>
              <w:t>中国生态旅游示范样板品牌</w:t>
            </w:r>
            <w:r>
              <w:rPr>
                <w:rFonts w:eastAsia="仿宋_GB2312"/>
                <w:color w:val="auto"/>
                <w:kern w:val="0"/>
                <w:sz w:val="20"/>
                <w:szCs w:val="20"/>
              </w:rPr>
              <w:t>”</w:t>
            </w:r>
            <w:r>
              <w:rPr>
                <w:rFonts w:hint="eastAsia" w:ascii="仿宋_GB2312" w:hAnsi="宋体" w:eastAsia="仿宋_GB2312" w:cs="宋体"/>
                <w:color w:val="auto"/>
                <w:kern w:val="0"/>
                <w:sz w:val="20"/>
                <w:szCs w:val="20"/>
              </w:rPr>
              <w:t>和</w:t>
            </w:r>
            <w:r>
              <w:rPr>
                <w:rFonts w:eastAsia="仿宋_GB2312"/>
                <w:color w:val="auto"/>
                <w:kern w:val="0"/>
                <w:sz w:val="20"/>
                <w:szCs w:val="20"/>
              </w:rPr>
              <w:t>“</w:t>
            </w:r>
            <w:r>
              <w:rPr>
                <w:rFonts w:hint="eastAsia" w:ascii="仿宋_GB2312" w:hAnsi="宋体" w:eastAsia="仿宋_GB2312" w:cs="宋体"/>
                <w:color w:val="auto"/>
                <w:kern w:val="0"/>
                <w:sz w:val="20"/>
                <w:szCs w:val="20"/>
              </w:rPr>
              <w:t>秦岭腹地旅游度假新地标</w:t>
            </w:r>
            <w:r>
              <w:rPr>
                <w:rFonts w:eastAsia="仿宋_GB2312"/>
                <w:color w:val="auto"/>
                <w:kern w:val="0"/>
                <w:sz w:val="20"/>
                <w:szCs w:val="20"/>
              </w:rPr>
              <w:t>”</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商州区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商南闯五寨东寨沟养生休闲度假园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建设马战演艺场、山门、生龙湖、射箭打靶场、生态停车场、西寨沟服务区、钟楼、鼓楼、闯王营房等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商洛洛河源旅游开发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开发洛南洛源至保安沿河景区，建设旅游服务中心、避暑山庄、会议中心、停车场、疗养、养生服务设施等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洛南县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商鞅封邑文化景区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建设赵沟（麻山）村自然风景区、民俗体验区、大石村等历史文化开发区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金丝峡国家级生态旅游示范区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建设金丝峡</w:t>
            </w:r>
            <w:r>
              <w:rPr>
                <w:rFonts w:eastAsia="仿宋_GB2312"/>
                <w:color w:val="auto"/>
                <w:kern w:val="0"/>
                <w:sz w:val="20"/>
                <w:szCs w:val="20"/>
              </w:rPr>
              <w:t>5A</w:t>
            </w:r>
            <w:r>
              <w:rPr>
                <w:rFonts w:hint="eastAsia" w:ascii="仿宋_GB2312" w:hAnsi="宋体" w:eastAsia="仿宋_GB2312" w:cs="宋体"/>
                <w:color w:val="auto"/>
                <w:kern w:val="0"/>
                <w:sz w:val="20"/>
                <w:szCs w:val="20"/>
              </w:rPr>
              <w:t>级景区，开发文化旅游项目，全面完善提升相关配套设施和旅游功能，形成园区乡村旅游产业带；带动开发文碧峰、上苍坊等新景区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丹江画廊旅游建设工程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建设游船码头、轮渡码头、码头广场、龙门客栈、丹江水神庙、风车长廊、南水北调景观隧道、纪念园、丹江秦文化摩崖石刻等为一体的旅游观光区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天竺山旅游产业园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建设天竺山僧道关服务区及配套场馆、人工湖、游客服务中心、实景演绎、数字景区、环山产业带、景区客运设施等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商洛黑龙谷-海螺宫秦岭国际休闲度假区</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建设黑龙谷景区、海螺宫世界民俗大观园、秦岭空中游览及停车场、入景公路、供电、供水、通讯等</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53</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牛背梁国家级旅游度假区</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建设飞越大秦岭高端游、步行和自行车专用道等，配套建设区域交通体系、旅游集散中心等</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柞水县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柞水溶洞景区扩容升级工程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建设溶洞漂流、西乾谷、天书小镇、古道岭、九天山等</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柞水县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瀛湖文化旅游景区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三大风情体验区、六大旅游项目、三大游客服务中心、</w:t>
            </w:r>
            <w:r>
              <w:rPr>
                <w:rFonts w:eastAsia="仿宋_GB2312"/>
                <w:color w:val="auto"/>
                <w:kern w:val="0"/>
                <w:sz w:val="20"/>
                <w:szCs w:val="20"/>
              </w:rPr>
              <w:t>8</w:t>
            </w:r>
            <w:r>
              <w:rPr>
                <w:rFonts w:hint="eastAsia" w:ascii="仿宋_GB2312" w:hAnsi="宋体" w:eastAsia="仿宋_GB2312" w:cs="宋体"/>
                <w:color w:val="auto"/>
                <w:kern w:val="0"/>
                <w:sz w:val="20"/>
                <w:szCs w:val="20"/>
              </w:rPr>
              <w:t>大水岸景观节点</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安康市瀛湖示范区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r>
              <w:rPr>
                <w:rFonts w:hint="eastAsia" w:eastAsia="宋体"/>
                <w:color w:val="auto"/>
                <w:kern w:val="0"/>
                <w:sz w:val="20"/>
                <w:szCs w:val="20"/>
                <w:lang w:val="en-US" w:eastAsia="zh-CN"/>
              </w:rPr>
              <w:t>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汉中三国文化景区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规划面积</w:t>
            </w:r>
            <w:r>
              <w:rPr>
                <w:rFonts w:eastAsia="仿宋_GB2312"/>
                <w:color w:val="auto"/>
                <w:kern w:val="0"/>
                <w:sz w:val="20"/>
                <w:szCs w:val="20"/>
              </w:rPr>
              <w:t>70</w:t>
            </w:r>
            <w:r>
              <w:rPr>
                <w:rFonts w:hint="eastAsia" w:ascii="仿宋_GB2312" w:hAnsi="宋体" w:eastAsia="仿宋_GB2312" w:cs="宋体"/>
                <w:color w:val="auto"/>
                <w:kern w:val="0"/>
                <w:sz w:val="20"/>
                <w:szCs w:val="20"/>
              </w:rPr>
              <w:t>平方公里，以三国文化为主线，整合文化体验、旅游度假、城市休闲三大要素，形成</w:t>
            </w:r>
            <w:r>
              <w:rPr>
                <w:rFonts w:eastAsia="仿宋_GB2312"/>
                <w:color w:val="auto"/>
                <w:kern w:val="0"/>
                <w:sz w:val="20"/>
                <w:szCs w:val="20"/>
              </w:rPr>
              <w:t>“</w:t>
            </w:r>
            <w:r>
              <w:rPr>
                <w:rFonts w:hint="eastAsia" w:ascii="仿宋_GB2312" w:hAnsi="宋体" w:eastAsia="仿宋_GB2312" w:cs="宋体"/>
                <w:color w:val="auto"/>
                <w:kern w:val="0"/>
                <w:sz w:val="20"/>
                <w:szCs w:val="20"/>
              </w:rPr>
              <w:t>一心、两带、三区、多点辐射</w:t>
            </w:r>
            <w:r>
              <w:rPr>
                <w:rFonts w:eastAsia="仿宋_GB2312"/>
                <w:color w:val="auto"/>
                <w:kern w:val="0"/>
                <w:sz w:val="20"/>
                <w:szCs w:val="20"/>
              </w:rPr>
              <w:t>”</w:t>
            </w:r>
            <w:r>
              <w:rPr>
                <w:rFonts w:hint="eastAsia" w:ascii="仿宋_GB2312" w:hAnsi="宋体" w:eastAsia="仿宋_GB2312" w:cs="宋体"/>
                <w:color w:val="auto"/>
                <w:kern w:val="0"/>
                <w:sz w:val="20"/>
                <w:szCs w:val="20"/>
              </w:rPr>
              <w:t>的功能布局。</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商於古道文化景区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丹凤棣花民俗文化体验区、商镇商鞅改革和四皓养生文化体验区、武关军事文化体验区</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商州区</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丹凤县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2013-2020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镇安木王山景区深度开发建设工程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景区提升规划，内部交通设施，景区内外标示系统工程，景观建设、服务接待设施</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南郑大汉山旅游综合开发工程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改建道路</w:t>
            </w:r>
            <w:r>
              <w:rPr>
                <w:rFonts w:eastAsia="仿宋_GB2312"/>
                <w:color w:val="auto"/>
                <w:kern w:val="0"/>
                <w:sz w:val="20"/>
                <w:szCs w:val="20"/>
              </w:rPr>
              <w:t>38.8</w:t>
            </w:r>
            <w:r>
              <w:rPr>
                <w:rFonts w:hint="eastAsia" w:ascii="仿宋_GB2312" w:hAnsi="宋体" w:eastAsia="仿宋_GB2312" w:cs="宋体"/>
                <w:color w:val="auto"/>
                <w:kern w:val="0"/>
                <w:sz w:val="20"/>
                <w:szCs w:val="20"/>
              </w:rPr>
              <w:t>公里，新建半山环线</w:t>
            </w:r>
            <w:r>
              <w:rPr>
                <w:rFonts w:eastAsia="仿宋_GB2312"/>
                <w:color w:val="auto"/>
                <w:kern w:val="0"/>
                <w:sz w:val="20"/>
                <w:szCs w:val="20"/>
              </w:rPr>
              <w:t>13.4</w:t>
            </w:r>
            <w:r>
              <w:rPr>
                <w:rFonts w:hint="eastAsia" w:ascii="仿宋_GB2312" w:hAnsi="宋体" w:eastAsia="仿宋_GB2312" w:cs="宋体"/>
                <w:color w:val="auto"/>
                <w:kern w:val="0"/>
                <w:sz w:val="20"/>
                <w:szCs w:val="20"/>
              </w:rPr>
              <w:t>公里及旅游设施、登山步道、观景台、停车场、公厕等，实施农家乐连片开发、景观打造、环境整治等</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南郑县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w:t>
            </w:r>
            <w:r>
              <w:rPr>
                <w:rFonts w:hint="eastAsia" w:ascii="仿宋_GB2312" w:eastAsia="仿宋_GB2312"/>
                <w:color w:val="auto"/>
                <w:kern w:val="0"/>
                <w:sz w:val="20"/>
                <w:szCs w:val="20"/>
              </w:rPr>
              <w:t>－</w:t>
            </w:r>
            <w:r>
              <w:rPr>
                <w:rFonts w:eastAsia="宋体"/>
                <w:color w:val="auto"/>
                <w:kern w:val="0"/>
                <w:sz w:val="20"/>
                <w:szCs w:val="20"/>
              </w:rPr>
              <w:t>2025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城固张骞文化中心</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建设张骞文化中心、张骞文化大道、张骞外交文化馆、张骞成长园、丝路博物园、胡城风情园、博望艺术园、汉艺养生园、博望侯府园；扩建张骞纪念馆等</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商洛文化旅游古镇</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建设洛南保安古镇、山阳漫川古镇、柞水凤凰古镇、镇安云盖寺古镇等四个省级文化旅游名镇</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洛南县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山阳县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柞水县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安康汉滨区汉水丝源文化产业园</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建设健康养老基地、影视演绎和新媒体项目等</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石泉云雾山鬼谷岭国家森林公园</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建设景区行车道路、停车场、园区景观照明、给排水、电力设施，旅游标示及遗址保护标示等</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2015-2018</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w:t>
            </w:r>
            <w:r>
              <w:rPr>
                <w:rFonts w:hint="eastAsia" w:eastAsia="宋体"/>
                <w:color w:val="auto"/>
                <w:kern w:val="0"/>
                <w:sz w:val="20"/>
                <w:szCs w:val="20"/>
                <w:lang w:val="en-US" w:eastAsia="zh-CN"/>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平利天书峡景区开发工程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新建游步道、栈道、马帮石道</w:t>
            </w:r>
            <w:r>
              <w:rPr>
                <w:rFonts w:eastAsia="仿宋_GB2312"/>
                <w:color w:val="auto"/>
                <w:kern w:val="0"/>
                <w:sz w:val="20"/>
                <w:szCs w:val="20"/>
              </w:rPr>
              <w:t>68</w:t>
            </w:r>
            <w:r>
              <w:rPr>
                <w:rFonts w:hint="eastAsia" w:ascii="仿宋_GB2312" w:hAnsi="宋体" w:eastAsia="仿宋_GB2312" w:cs="宋体"/>
                <w:color w:val="auto"/>
                <w:kern w:val="0"/>
                <w:sz w:val="20"/>
                <w:szCs w:val="20"/>
              </w:rPr>
              <w:t>千米，桥涵</w:t>
            </w:r>
            <w:r>
              <w:rPr>
                <w:rFonts w:eastAsia="仿宋_GB2312"/>
                <w:color w:val="auto"/>
                <w:kern w:val="0"/>
                <w:sz w:val="20"/>
                <w:szCs w:val="20"/>
              </w:rPr>
              <w:t>800</w:t>
            </w:r>
            <w:r>
              <w:rPr>
                <w:rFonts w:hint="eastAsia" w:ascii="仿宋_GB2312" w:hAnsi="宋体" w:eastAsia="仿宋_GB2312" w:cs="宋体"/>
                <w:color w:val="auto"/>
                <w:kern w:val="0"/>
                <w:sz w:val="20"/>
                <w:szCs w:val="20"/>
              </w:rPr>
              <w:t>米；通讯基站</w:t>
            </w:r>
            <w:r>
              <w:rPr>
                <w:rFonts w:eastAsia="仿宋_GB2312"/>
                <w:color w:val="auto"/>
                <w:kern w:val="0"/>
                <w:sz w:val="20"/>
                <w:szCs w:val="20"/>
              </w:rPr>
              <w:t>3</w:t>
            </w:r>
            <w:r>
              <w:rPr>
                <w:rFonts w:hint="eastAsia" w:ascii="仿宋_GB2312" w:hAnsi="宋体" w:eastAsia="仿宋_GB2312" w:cs="宋体"/>
                <w:color w:val="auto"/>
                <w:kern w:val="0"/>
                <w:sz w:val="20"/>
                <w:szCs w:val="20"/>
              </w:rPr>
              <w:t>座，移动光缆</w:t>
            </w:r>
            <w:r>
              <w:rPr>
                <w:rFonts w:eastAsia="仿宋_GB2312"/>
                <w:color w:val="auto"/>
                <w:kern w:val="0"/>
                <w:sz w:val="20"/>
                <w:szCs w:val="20"/>
              </w:rPr>
              <w:t>30</w:t>
            </w:r>
            <w:r>
              <w:rPr>
                <w:rFonts w:hint="eastAsia" w:ascii="仿宋_GB2312" w:hAnsi="宋体" w:eastAsia="仿宋_GB2312" w:cs="宋体"/>
                <w:color w:val="auto"/>
                <w:kern w:val="0"/>
                <w:sz w:val="20"/>
                <w:szCs w:val="20"/>
              </w:rPr>
              <w:t>千米，供电线路</w:t>
            </w:r>
            <w:r>
              <w:rPr>
                <w:rFonts w:eastAsia="仿宋_GB2312"/>
                <w:color w:val="auto"/>
                <w:kern w:val="0"/>
                <w:sz w:val="20"/>
                <w:szCs w:val="20"/>
              </w:rPr>
              <w:t>26</w:t>
            </w:r>
            <w:r>
              <w:rPr>
                <w:rFonts w:hint="eastAsia" w:ascii="仿宋_GB2312" w:hAnsi="宋体" w:eastAsia="仿宋_GB2312" w:cs="宋体"/>
                <w:color w:val="auto"/>
                <w:kern w:val="0"/>
                <w:sz w:val="20"/>
                <w:szCs w:val="20"/>
              </w:rPr>
              <w:t>千米，变压器</w:t>
            </w:r>
            <w:r>
              <w:rPr>
                <w:rFonts w:eastAsia="仿宋_GB2312"/>
                <w:color w:val="auto"/>
                <w:kern w:val="0"/>
                <w:sz w:val="20"/>
                <w:szCs w:val="20"/>
              </w:rPr>
              <w:t>6</w:t>
            </w:r>
            <w:r>
              <w:rPr>
                <w:rFonts w:hint="eastAsia" w:ascii="仿宋_GB2312" w:hAnsi="宋体" w:eastAsia="仿宋_GB2312" w:cs="宋体"/>
                <w:color w:val="auto"/>
                <w:kern w:val="0"/>
                <w:sz w:val="20"/>
                <w:szCs w:val="20"/>
              </w:rPr>
              <w:t>台；天书崖壁梳理</w:t>
            </w:r>
            <w:r>
              <w:rPr>
                <w:rFonts w:eastAsia="仿宋_GB2312"/>
                <w:color w:val="auto"/>
                <w:kern w:val="0"/>
                <w:sz w:val="20"/>
                <w:szCs w:val="20"/>
              </w:rPr>
              <w:t>2</w:t>
            </w:r>
            <w:r>
              <w:rPr>
                <w:rFonts w:hint="eastAsia" w:ascii="仿宋_GB2312" w:hAnsi="宋体" w:eastAsia="仿宋_GB2312" w:cs="宋体"/>
                <w:color w:val="auto"/>
                <w:kern w:val="0"/>
                <w:sz w:val="20"/>
                <w:szCs w:val="20"/>
              </w:rPr>
              <w:t>处；引水隧道</w:t>
            </w:r>
            <w:r>
              <w:rPr>
                <w:rFonts w:eastAsia="仿宋_GB2312"/>
                <w:color w:val="auto"/>
                <w:kern w:val="0"/>
                <w:sz w:val="20"/>
                <w:szCs w:val="20"/>
              </w:rPr>
              <w:t>930</w:t>
            </w:r>
            <w:r>
              <w:rPr>
                <w:rFonts w:hint="eastAsia" w:ascii="仿宋_GB2312" w:hAnsi="宋体" w:eastAsia="仿宋_GB2312" w:cs="宋体"/>
                <w:color w:val="auto"/>
                <w:kern w:val="0"/>
                <w:sz w:val="20"/>
                <w:szCs w:val="20"/>
              </w:rPr>
              <w:t>米，拦水坝</w:t>
            </w:r>
            <w:r>
              <w:rPr>
                <w:rFonts w:eastAsia="仿宋_GB2312"/>
                <w:color w:val="auto"/>
                <w:kern w:val="0"/>
                <w:sz w:val="20"/>
                <w:szCs w:val="20"/>
              </w:rPr>
              <w:t>2</w:t>
            </w:r>
            <w:r>
              <w:rPr>
                <w:rFonts w:hint="eastAsia" w:ascii="仿宋_GB2312" w:hAnsi="宋体" w:eastAsia="仿宋_GB2312" w:cs="宋体"/>
                <w:color w:val="auto"/>
                <w:kern w:val="0"/>
                <w:sz w:val="20"/>
                <w:szCs w:val="20"/>
              </w:rPr>
              <w:t>座，人工湖</w:t>
            </w:r>
            <w:r>
              <w:rPr>
                <w:rFonts w:eastAsia="仿宋_GB2312"/>
                <w:color w:val="auto"/>
                <w:kern w:val="0"/>
                <w:sz w:val="20"/>
                <w:szCs w:val="20"/>
              </w:rPr>
              <w:t>6000</w:t>
            </w:r>
            <w:r>
              <w:rPr>
                <w:rFonts w:hint="eastAsia" w:ascii="仿宋_GB2312" w:hAnsi="宋体" w:eastAsia="仿宋_GB2312" w:cs="宋体"/>
                <w:color w:val="auto"/>
                <w:kern w:val="0"/>
                <w:sz w:val="20"/>
                <w:szCs w:val="20"/>
              </w:rPr>
              <w:t>平方米等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安康鱼姐河</w:t>
            </w:r>
            <w:r>
              <w:rPr>
                <w:rFonts w:eastAsia="仿宋_GB2312"/>
                <w:color w:val="auto"/>
                <w:kern w:val="0"/>
                <w:sz w:val="20"/>
                <w:szCs w:val="20"/>
              </w:rPr>
              <w:t>-</w:t>
            </w:r>
            <w:r>
              <w:rPr>
                <w:rFonts w:hint="eastAsia" w:ascii="仿宋_GB2312" w:hAnsi="宋体" w:eastAsia="仿宋_GB2312" w:cs="宋体"/>
                <w:color w:val="auto"/>
                <w:kern w:val="0"/>
                <w:sz w:val="20"/>
                <w:szCs w:val="20"/>
              </w:rPr>
              <w:t>牛山生态旅游开发工程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建设牛山观光健身区（核心区）、神女湖（新民水库）休闲养生区（辅助区）以及生态农业民俗风情体验区（缓冲区）。配套建设水、电、路、通信等基础设施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西汉三遗址汉文化园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整合古汉台、拜将坛、饮马池西汉三遗址，建立群落式市级博物馆及仿古文化旅游街区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2013-</w:t>
            </w:r>
            <w:r>
              <w:rPr>
                <w:rFonts w:eastAsia="宋体"/>
                <w:color w:val="auto"/>
                <w:kern w:val="0"/>
                <w:sz w:val="20"/>
                <w:szCs w:val="20"/>
              </w:rPr>
              <w:br w:type="textWrapping"/>
            </w:r>
            <w:r>
              <w:rPr>
                <w:rFonts w:eastAsia="宋体"/>
                <w:color w:val="auto"/>
                <w:kern w:val="0"/>
                <w:sz w:val="20"/>
                <w:szCs w:val="20"/>
              </w:rPr>
              <w:t>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黎坪国家森林公园生态旅游开发工程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改建旅游道路</w:t>
            </w:r>
            <w:r>
              <w:rPr>
                <w:rFonts w:eastAsia="仿宋_GB2312"/>
                <w:color w:val="auto"/>
                <w:kern w:val="0"/>
                <w:sz w:val="20"/>
                <w:szCs w:val="20"/>
              </w:rPr>
              <w:t>70</w:t>
            </w:r>
            <w:r>
              <w:rPr>
                <w:rFonts w:hint="eastAsia" w:ascii="仿宋_GB2312" w:hAnsi="宋体" w:eastAsia="仿宋_GB2312" w:cs="宋体"/>
                <w:color w:val="auto"/>
                <w:kern w:val="0"/>
                <w:sz w:val="20"/>
                <w:szCs w:val="20"/>
              </w:rPr>
              <w:t>公里，停车场</w:t>
            </w:r>
            <w:r>
              <w:rPr>
                <w:rFonts w:eastAsia="仿宋_GB2312"/>
                <w:color w:val="auto"/>
                <w:kern w:val="0"/>
                <w:sz w:val="20"/>
                <w:szCs w:val="20"/>
              </w:rPr>
              <w:t>10.8</w:t>
            </w:r>
            <w:r>
              <w:rPr>
                <w:rFonts w:hint="eastAsia" w:ascii="仿宋_GB2312" w:hAnsi="宋体" w:eastAsia="仿宋_GB2312" w:cs="宋体"/>
                <w:color w:val="auto"/>
                <w:kern w:val="0"/>
                <w:sz w:val="20"/>
                <w:szCs w:val="20"/>
              </w:rPr>
              <w:t>万平方米，步道</w:t>
            </w:r>
            <w:r>
              <w:rPr>
                <w:rFonts w:eastAsia="仿宋_GB2312"/>
                <w:color w:val="auto"/>
                <w:kern w:val="0"/>
                <w:sz w:val="20"/>
                <w:szCs w:val="20"/>
              </w:rPr>
              <w:t>37</w:t>
            </w:r>
            <w:r>
              <w:rPr>
                <w:rFonts w:hint="eastAsia" w:ascii="仿宋_GB2312" w:hAnsi="宋体" w:eastAsia="仿宋_GB2312" w:cs="宋体"/>
                <w:color w:val="auto"/>
                <w:kern w:val="0"/>
                <w:sz w:val="20"/>
                <w:szCs w:val="20"/>
              </w:rPr>
              <w:t>公里，输电线路</w:t>
            </w:r>
            <w:r>
              <w:rPr>
                <w:rFonts w:eastAsia="仿宋_GB2312"/>
                <w:color w:val="auto"/>
                <w:kern w:val="0"/>
                <w:sz w:val="20"/>
                <w:szCs w:val="20"/>
              </w:rPr>
              <w:t>80</w:t>
            </w:r>
            <w:r>
              <w:rPr>
                <w:rFonts w:hint="eastAsia" w:ascii="仿宋_GB2312" w:hAnsi="宋体" w:eastAsia="仿宋_GB2312" w:cs="宋体"/>
                <w:color w:val="auto"/>
                <w:kern w:val="0"/>
                <w:sz w:val="20"/>
                <w:szCs w:val="20"/>
              </w:rPr>
              <w:t>千米；新建污水处理厂</w:t>
            </w:r>
            <w:r>
              <w:rPr>
                <w:rFonts w:eastAsia="仿宋_GB2312"/>
                <w:color w:val="auto"/>
                <w:kern w:val="0"/>
                <w:sz w:val="20"/>
                <w:szCs w:val="20"/>
              </w:rPr>
              <w:t>2</w:t>
            </w:r>
            <w:r>
              <w:rPr>
                <w:rFonts w:hint="eastAsia" w:ascii="仿宋_GB2312" w:hAnsi="宋体" w:eastAsia="仿宋_GB2312" w:cs="宋体"/>
                <w:color w:val="auto"/>
                <w:kern w:val="0"/>
                <w:sz w:val="20"/>
                <w:szCs w:val="20"/>
              </w:rPr>
              <w:t>座，旅游服务中心、广场、环保宣教中心</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南郑县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2011-2017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平利女娲文化开发工程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恢复女娲庙，复原母系氏族部落；新建女娲文化研究中心、女娲文物陈列馆、补天遗石园区等，打造女娲文化山水实景剧，挖掘推广女娲品牌，建设女娲影视基地</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2012-2020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羌文化产业园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项目位于汉中市宁强县汉源街道，建设</w:t>
            </w:r>
            <w:r>
              <w:rPr>
                <w:rFonts w:eastAsia="仿宋_GB2312"/>
                <w:color w:val="auto"/>
                <w:kern w:val="0"/>
                <w:sz w:val="20"/>
                <w:szCs w:val="20"/>
              </w:rPr>
              <w:t>9600</w:t>
            </w:r>
            <w:r>
              <w:rPr>
                <w:rFonts w:hint="eastAsia" w:ascii="宋体" w:hAnsi="宋体" w:eastAsia="宋体" w:cs="宋体"/>
                <w:color w:val="auto"/>
                <w:kern w:val="0"/>
                <w:sz w:val="20"/>
                <w:szCs w:val="20"/>
              </w:rPr>
              <w:t>㎡</w:t>
            </w:r>
            <w:r>
              <w:rPr>
                <w:rFonts w:hint="eastAsia" w:ascii="仿宋_GB2312" w:hAnsi="宋体" w:eastAsia="仿宋_GB2312" w:cs="宋体"/>
                <w:color w:val="auto"/>
                <w:kern w:val="0"/>
                <w:sz w:val="20"/>
                <w:szCs w:val="20"/>
              </w:rPr>
              <w:t>羌文化民俗博物馆，对青木川古镇进行保护性开发，以文化产业带动旅游产业发展</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宁强县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大秦岭国家公园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在商州西南乳河下游，总面积</w:t>
            </w:r>
            <w:r>
              <w:rPr>
                <w:rFonts w:eastAsia="仿宋_GB2312"/>
                <w:color w:val="auto"/>
                <w:kern w:val="0"/>
                <w:sz w:val="20"/>
                <w:szCs w:val="20"/>
              </w:rPr>
              <w:t>6485</w:t>
            </w:r>
            <w:r>
              <w:rPr>
                <w:rFonts w:hint="eastAsia" w:ascii="仿宋_GB2312" w:hAnsi="宋体" w:eastAsia="仿宋_GB2312" w:cs="宋体"/>
                <w:color w:val="auto"/>
                <w:kern w:val="0"/>
                <w:sz w:val="20"/>
                <w:szCs w:val="20"/>
              </w:rPr>
              <w:t>公顷范围内，开发主峰秦王峰及寺沟、大水岔、鹅项沟、七娘沟、蛇沟和漏桶沟六大沟峪，建设田园运动谷、慢养运动谷、户外极限谷、定向探索谷等功能区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商州区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镇安兴隆寺公园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恢复修缮古兴隆寺仿唐建筑群</w:t>
            </w:r>
            <w:r>
              <w:rPr>
                <w:rFonts w:eastAsia="仿宋_GB2312"/>
                <w:color w:val="auto"/>
                <w:kern w:val="0"/>
                <w:sz w:val="20"/>
                <w:szCs w:val="20"/>
              </w:rPr>
              <w:t>8800</w:t>
            </w:r>
            <w:r>
              <w:rPr>
                <w:rFonts w:hint="eastAsia" w:ascii="仿宋_GB2312" w:hAnsi="宋体" w:eastAsia="仿宋_GB2312" w:cs="宋体"/>
                <w:color w:val="auto"/>
                <w:kern w:val="0"/>
                <w:sz w:val="20"/>
                <w:szCs w:val="20"/>
              </w:rPr>
              <w:t>平方米，建设主门户区文化广场</w:t>
            </w:r>
            <w:r>
              <w:rPr>
                <w:rFonts w:eastAsia="仿宋_GB2312"/>
                <w:color w:val="auto"/>
                <w:kern w:val="0"/>
                <w:sz w:val="20"/>
                <w:szCs w:val="20"/>
              </w:rPr>
              <w:t>17000</w:t>
            </w:r>
            <w:r>
              <w:rPr>
                <w:rFonts w:hint="eastAsia" w:ascii="仿宋_GB2312" w:hAnsi="宋体" w:eastAsia="仿宋_GB2312" w:cs="宋体"/>
                <w:color w:val="auto"/>
                <w:kern w:val="0"/>
                <w:sz w:val="20"/>
                <w:szCs w:val="20"/>
              </w:rPr>
              <w:t>平方米，建设商业街</w:t>
            </w:r>
            <w:r>
              <w:rPr>
                <w:rFonts w:eastAsia="仿宋_GB2312"/>
                <w:color w:val="auto"/>
                <w:kern w:val="0"/>
                <w:sz w:val="20"/>
                <w:szCs w:val="20"/>
              </w:rPr>
              <w:t>20000</w:t>
            </w:r>
            <w:r>
              <w:rPr>
                <w:rFonts w:hint="eastAsia" w:ascii="仿宋_GB2312" w:hAnsi="宋体" w:eastAsia="仿宋_GB2312" w:cs="宋体"/>
                <w:color w:val="auto"/>
                <w:kern w:val="0"/>
                <w:sz w:val="20"/>
                <w:szCs w:val="20"/>
              </w:rPr>
              <w:t>平方米，打造精品酒店及山居地产区</w:t>
            </w:r>
            <w:r>
              <w:rPr>
                <w:rFonts w:eastAsia="仿宋_GB2312"/>
                <w:color w:val="auto"/>
                <w:kern w:val="0"/>
                <w:sz w:val="20"/>
                <w:szCs w:val="20"/>
              </w:rPr>
              <w:t>110</w:t>
            </w:r>
            <w:r>
              <w:rPr>
                <w:rFonts w:hint="eastAsia" w:ascii="仿宋_GB2312" w:hAnsi="宋体" w:eastAsia="仿宋_GB2312" w:cs="宋体"/>
                <w:color w:val="auto"/>
                <w:kern w:val="0"/>
                <w:sz w:val="20"/>
                <w:szCs w:val="20"/>
              </w:rPr>
              <w:t>亩，改造禅意度假小镇</w:t>
            </w:r>
            <w:r>
              <w:rPr>
                <w:rFonts w:eastAsia="仿宋_GB2312"/>
                <w:color w:val="auto"/>
                <w:kern w:val="0"/>
                <w:sz w:val="20"/>
                <w:szCs w:val="20"/>
              </w:rPr>
              <w:t>70</w:t>
            </w:r>
            <w:r>
              <w:rPr>
                <w:rFonts w:hint="eastAsia" w:ascii="仿宋_GB2312" w:hAnsi="宋体" w:eastAsia="仿宋_GB2312" w:cs="宋体"/>
                <w:color w:val="auto"/>
                <w:kern w:val="0"/>
                <w:sz w:val="20"/>
                <w:szCs w:val="20"/>
              </w:rPr>
              <w:t>亩</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商州秦岭客家村</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建设地址位于商州区腰市镇，主要建设中国客家民俗体验区、陕南农耕产业园、腰市旅游文化综合体、商州养老养生度假园等</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商州区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镇安县云盖寺镇文化旅游古镇开发</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镇安云盖寺文化旅游名镇，建设基础设施及配套工程，开发游览、休闲、餐饮和文化体验等旅游产品</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镇安县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2014-2020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r>
              <w:rPr>
                <w:rFonts w:hint="eastAsia" w:eastAsia="宋体"/>
                <w:color w:val="auto"/>
                <w:kern w:val="0"/>
                <w:sz w:val="20"/>
                <w:szCs w:val="20"/>
                <w:lang w:val="en-US" w:eastAsia="zh-CN"/>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安康空港物流新区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规划用地1000亩，发展航空物流、空港服务、生物医药、航空食品、航空设备、电子商务等临空指导性强的产业区，公共服务设施建设，客车站、星级宾馆、物流服务设施等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安康航空小镇建设</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建立多项通航业务、综合通航飞行俱乐部、通用飞行服务固定基站，提供飞其他各项服务，配套小镇中心广场、大型露天温泉游泳池、身体健康检测中心、风情步行街、体育休闲娱乐中心等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镇坪文彩产业园建设</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建设园区基础设施、标准厂房、物流园及孵化园等建设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镇坪县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安康科技创业孵化园二期工程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可研办公用房3万平方米，标准化厂房22万平方米，公共服务平台设施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安康产城融合示范区建设</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重点围绕基础设施建设、打造产业集群、发展社会事业、重视科技创新、构建完善的公共服务平台</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石泉县印象汉江建设项目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该项目新建跨江观光步行桥一座、玻璃栈桥600米、游览栈道2.5公里、游客接待中心1000平方米及停车场、码头等基础设施，配套景观造型、供电、排水、环保、防洪、紧急避险等设施建设，并购置游船、音乐等设施设备</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石泉县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汉阴县工业物流园建设项目   </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重点建设综合物流基础设施，完成物流园区一环三纵道路建设，以惠联物流中心为依托，加快巨川公司中国硒谷·汉阴大集项目建设，推进汉阴美食富硒食材配送中心、物流基地和现代物流示范园区建设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汉阴县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安康国际会展中心</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会展中心12万平方米</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192</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旬阳县中华太极城文化旅游项目</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新建市政基础设施、棚户区改造45000户、公共配套设施和文化保护工程、文化娱乐设施</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旬阳县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93</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r>
              <w:rPr>
                <w:rFonts w:hint="eastAsia" w:eastAsia="宋体"/>
                <w:color w:val="auto"/>
                <w:kern w:val="0"/>
                <w:sz w:val="20"/>
                <w:szCs w:val="20"/>
                <w:lang w:val="en-US" w:eastAsia="zh-CN"/>
              </w:rPr>
              <w:t>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安康市“巴山画廊”精品旅游带建设项目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加快岚皋蔡垭旅游综合体、南宫湖，平利廖乾武故居、正阳大草甸，镇坪鸡心岭、南江河漂流，汉滨黄洋河乡村旅游带等项目建设；规划在岚皋、汉滨、平利、镇坪建设自驾车营地1个以上；完善“巴山画廊”沿线国省道旅游交通标识、停车港湾、旅游厕所建设，实施百里画廊绿化美化、景观节点提升工程，强化景区景点水电路讯等基础设施和游客咨询服务等公共服务设施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岚皋县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镇坪县</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瀛湖</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r>
              <w:rPr>
                <w:rFonts w:hint="eastAsia" w:eastAsia="宋体"/>
                <w:color w:val="auto"/>
                <w:kern w:val="0"/>
                <w:sz w:val="20"/>
                <w:szCs w:val="20"/>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安康市高山生态农庄旅游观光项目建设项目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拟征地约6000亩（山地+旱地+林地），建设茶叶种植基地5000亩，高山酒店、度假公寓、观光道路20公里、形象山门、服务区、观景台、生产车间、销售展厅、农庄改造、茶叶采摘体验区、养老美食、停车场、游客服务中心、旅游厕所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镇坪县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r>
              <w:rPr>
                <w:rFonts w:hint="eastAsia" w:eastAsia="宋体"/>
                <w:color w:val="auto"/>
                <w:kern w:val="0"/>
                <w:sz w:val="20"/>
                <w:szCs w:val="20"/>
              </w:rPr>
              <w:t>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安康市镇坪县代安河景区建设项目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曙坪镇代安河支流自然生态资源为依托，开发建设休闲度假、健康养生等旅游项目。建设游客接待中心，沿河游步道、瀑布观赏台、亲水平台、自驾游营地、停车场、星级宾馆、休闲度假避暑山庄、一站式购物休闲驿站、A级旅游公厕、垃圾回收站，完善水、电、通讯等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镇坪县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r>
              <w:rPr>
                <w:rFonts w:hint="eastAsia" w:eastAsia="宋体"/>
                <w:color w:val="auto"/>
                <w:kern w:val="0"/>
                <w:sz w:val="20"/>
                <w:szCs w:val="20"/>
              </w:rPr>
              <w:t>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陕西百草园中药材生态旅游观光建设项目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拟征地约5000亩（林地+旱地），建设中药材种植基地3000亩，养生山庄、山区道路15公里、形象山门、服务区、耕读养生体验区、观景台、养老功能疗养区、药膳美食区、饮水工程、电力配套、停车场、游客服务中心、旅游厕所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镇坪县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6"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r>
              <w:rPr>
                <w:rFonts w:hint="eastAsia" w:eastAsia="宋体"/>
                <w:color w:val="auto"/>
                <w:kern w:val="0"/>
                <w:sz w:val="20"/>
                <w:szCs w:val="20"/>
              </w:rPr>
              <w:t>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安康市紫阳县任河漂流生态旅游区二期建设项目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漂流观光风景廊道7公里，在下码头修建拦河景观水坝1座，开发建设水上娱乐项目；修建跨河人车混行桥1座，打造具有陕南特色的商业步行街8900平方米；新建高标准大型户外拓展基地、丛林CS基地、户外宿营营地；新建现代农业观光采摘体验农业基地5000亩。三期预算投资6500万元，新建1.5万平方米健康养老度假中心1座，临河休闲度假木屋别墅15座</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紫阳县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hint="eastAsia" w:eastAsia="宋体"/>
                <w:color w:val="auto"/>
                <w:kern w:val="0"/>
                <w:sz w:val="20"/>
                <w:szCs w:val="20"/>
              </w:rPr>
              <w:t>19</w:t>
            </w:r>
            <w:r>
              <w:rPr>
                <w:rFonts w:hint="eastAsia" w:eastAsia="宋体"/>
                <w:color w:val="auto"/>
                <w:kern w:val="0"/>
                <w:sz w:val="20"/>
                <w:szCs w:val="20"/>
                <w:lang w:val="en-US" w:eastAsia="zh-CN"/>
              </w:rPr>
              <w:t>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安康市香溪洞牛蹄岭红色旅游爱国主义教育基地项目</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总占地面积10平方公里，道路工程5条共计223公里，生态停车场6个共计2.12万平方米，游客接待中心2个计2300</w:t>
            </w:r>
            <w:r>
              <w:rPr>
                <w:rFonts w:hint="eastAsia" w:ascii="宋体" w:hAnsi="宋体" w:eastAsia="宋体" w:cs="宋体"/>
                <w:color w:val="auto"/>
                <w:kern w:val="0"/>
                <w:sz w:val="20"/>
                <w:szCs w:val="20"/>
              </w:rPr>
              <w:t>㎡</w:t>
            </w:r>
            <w:r>
              <w:rPr>
                <w:rFonts w:hint="eastAsia" w:ascii="仿宋_GB2312" w:hAnsi="仿宋_GB2312" w:eastAsia="仿宋_GB2312" w:cs="仿宋_GB2312"/>
                <w:color w:val="auto"/>
                <w:kern w:val="0"/>
                <w:sz w:val="20"/>
                <w:szCs w:val="20"/>
              </w:rPr>
              <w:t>，牛蹄岭解放纪念碑、战壕遗址、历史教育展厅、碉堡等设施共计</w:t>
            </w:r>
            <w:r>
              <w:rPr>
                <w:rFonts w:hint="eastAsia" w:ascii="仿宋_GB2312" w:hAnsi="宋体" w:eastAsia="仿宋_GB2312" w:cs="宋体"/>
                <w:color w:val="auto"/>
                <w:kern w:val="0"/>
                <w:sz w:val="20"/>
                <w:szCs w:val="20"/>
              </w:rPr>
              <w:t>1.17万平方米，供水及污水处理工程4座，管道15公里，照明绿化工程3.6万平方米，公厕8座，垃圾处理厂3座，污水处理厂1座</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hint="eastAsia" w:eastAsia="宋体"/>
                <w:color w:val="auto"/>
                <w:kern w:val="0"/>
                <w:sz w:val="20"/>
                <w:szCs w:val="20"/>
              </w:rPr>
              <w:t>199</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中国优秀家训文化教育基地建设项目</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戏台、水景、沈氏祠堂修缮、沈家院子恢复、入口大门、牌坊、手工作坊、传统文化文化传承教育基地、文化展馆、收藏馆、亭台廊道、商业街、绿化景观、旅游道路、停车场、给排水、供电、电讯、消防设施、厕所、环卫设施、标识系统以及服务配套设施等项目</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汉阴县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r>
              <w:rPr>
                <w:rFonts w:hint="eastAsia" w:eastAsia="宋体"/>
                <w:color w:val="auto"/>
                <w:kern w:val="0"/>
                <w:sz w:val="20"/>
                <w:szCs w:val="20"/>
              </w:rPr>
              <w:t>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白河生态旅游资源开发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实施红石河、庙山寨、仙姑寨景区及电站库区生态旅游开发，建设旅游观光栈道、接待中心及服务设施等，开发木瓜、绿松石、茶叶、鹿制品、土特产等旅游产品</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白河县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r>
              <w:rPr>
                <w:rFonts w:hint="eastAsia" w:eastAsia="宋体"/>
                <w:color w:val="auto"/>
                <w:kern w:val="0"/>
                <w:sz w:val="20"/>
                <w:szCs w:val="20"/>
              </w:rPr>
              <w:t>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宁陕老城陕南民俗体验村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恢复历史建筑，打造历史文化商业街区；修复城墙并在原地打造“城墙上的历史博物馆”，建设“印象宁陕”演艺中心，减小本地民俗文化表演</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r>
              <w:rPr>
                <w:rFonts w:hint="eastAsia" w:eastAsia="宋体"/>
                <w:color w:val="auto"/>
                <w:kern w:val="0"/>
                <w:sz w:val="20"/>
                <w:szCs w:val="20"/>
              </w:rPr>
              <w:t>2</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宁陕210自驾游廊道</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北起国道210宁陕与长安县交界处，南至宁陕县城，全长约118公里。主要建设道路通行保障设施、交通引导牌、景区指示牌、观景平台、亲水平台、旅游星级厕所、旅游村镇、自驾游营地、停车场、旅游购物点等设施</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r>
              <w:rPr>
                <w:rFonts w:hint="eastAsia" w:eastAsia="宋体"/>
                <w:color w:val="auto"/>
                <w:kern w:val="0"/>
                <w:sz w:val="20"/>
                <w:szCs w:val="20"/>
              </w:rPr>
              <w:t>3</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宁陕天华山旅游开发</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600公顷，拟建设天华迎宾处、生态博物苑、万亩人工长青林、红桦林、千亩杜鹃岭、花岩溶洞、深山老街、西河漂流、百花攀岩场、滑雪场、生态度假村、大王寨、兰花湖天然盆景园、天华山瀑布、蒲河种植园、蒲河养殖场、菜子坪旅游接待服务中心、景区道路等</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r>
              <w:rPr>
                <w:rFonts w:hint="eastAsia" w:eastAsia="宋体"/>
                <w:color w:val="auto"/>
                <w:kern w:val="0"/>
                <w:sz w:val="20"/>
                <w:szCs w:val="20"/>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宁陕筒车湾休闲景区</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占地400亩，项目包括瀑布主题水上乐园、精品服务和山林养生体验三个分区，以水上乐园为片区功能核心，打造西北最大的亲水旅游景区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05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宁陕秦岭峡谷乐园</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建设集漂流、滑雪、攀岩户外运动、野外拓展、休闲度假等多种功能为一体的生态旅游景区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0</w:t>
            </w:r>
            <w:r>
              <w:rPr>
                <w:rFonts w:hint="eastAsia" w:eastAsia="宋体"/>
                <w:color w:val="auto"/>
                <w:kern w:val="0"/>
                <w:sz w:val="20"/>
                <w:szCs w:val="20"/>
                <w:lang w:val="en-US" w:eastAsia="zh-CN"/>
              </w:rPr>
              <w:t>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宁陕上坝河森林公园二期</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建设山地自行车赛道、山地摩托车赛道，打造特色景点景观，建设胭脂坝现代农业观光园</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07</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宁陕皇冠休闲景区</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建设皇冠生态小镇、岭南文化研究中心、万亩竹海自行车赛道和高山滑雪场、皂矾沟亲水娱乐基地、川金丝猴科普教育基地、陕西秦岭科苑、林博园等特色景区景点，推进花石整村旅游综合开发</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2015-2019</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08</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宁陕中庄秦岭逍遥谷</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建设乡镇综合服务区、移民创业产业区、土特产品贸易区，总建筑面积约20万平方米</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2018-2020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09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宁陕苦竹沟综合旅游开发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建设自然生态景观景点、高档酒店、度假木屋，配套休闲观光设施，综合性养生养老基地及其附属设施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r>
              <w:rPr>
                <w:rFonts w:hint="eastAsia" w:eastAsia="宋体"/>
                <w:color w:val="auto"/>
                <w:kern w:val="0"/>
                <w:sz w:val="20"/>
                <w:szCs w:val="20"/>
              </w:rPr>
              <w:t>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宁陕秦岭冰晶顶旅游开发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集休闲度假、生态观光、岭南民俗风情游、佛道文化旅游和户外汽车度假营地等为一体旅游度假休闲养生景区，打造“一环（环卧龙山旅游环线）一带（沿蒿沟公路乡村旅游带）四区（铁牌沟景区、天府寨沟景区、长坪沟景区和卧龙山景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2010-2020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r>
              <w:rPr>
                <w:rFonts w:hint="eastAsia" w:eastAsia="宋体"/>
                <w:color w:val="auto"/>
                <w:kern w:val="0"/>
                <w:sz w:val="20"/>
                <w:szCs w:val="20"/>
              </w:rPr>
              <w:t>1</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宁陕引汉济渭旅游开发</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建设集生态观光、科普教育、运动娱乐、休闲度假、文化体验于一体的综合型旅游区，主要建设旅游接待服务区、三河口景区、黄金峡景区</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宁陕县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single" w:color="auto" w:sz="4" w:space="0"/>
              <w:left w:val="single" w:color="auto" w:sz="4" w:space="0"/>
              <w:bottom w:val="single" w:color="auto" w:sz="4" w:space="0"/>
              <w:right w:val="nil"/>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四</w:t>
            </w:r>
          </w:p>
        </w:tc>
        <w:tc>
          <w:tcPr>
            <w:tcW w:w="3610" w:type="dxa"/>
            <w:tcBorders>
              <w:top w:val="single" w:color="auto" w:sz="4" w:space="0"/>
              <w:left w:val="single" w:color="auto" w:sz="4" w:space="0"/>
              <w:bottom w:val="single" w:color="auto" w:sz="4" w:space="0"/>
              <w:right w:val="nil"/>
            </w:tcBorders>
            <w:noWrap w:val="0"/>
            <w:vAlign w:val="center"/>
          </w:tcPr>
          <w:p>
            <w:pPr>
              <w:widowControl/>
              <w:spacing w:line="240" w:lineRule="auto"/>
              <w:ind w:firstLine="0" w:firstLineChars="0"/>
              <w:jc w:val="left"/>
              <w:rPr>
                <w:rFonts w:ascii="黑体" w:hAnsi="黑体" w:eastAsia="黑体" w:cs="宋体"/>
                <w:color w:val="auto"/>
                <w:kern w:val="0"/>
                <w:sz w:val="20"/>
                <w:szCs w:val="20"/>
              </w:rPr>
            </w:pPr>
            <w:r>
              <w:rPr>
                <w:rFonts w:hint="eastAsia" w:ascii="黑体" w:hAnsi="黑体" w:eastAsia="黑体" w:cs="宋体"/>
                <w:color w:val="auto"/>
                <w:kern w:val="0"/>
                <w:sz w:val="20"/>
                <w:szCs w:val="20"/>
              </w:rPr>
              <w:t>新型城镇化工程（2</w:t>
            </w:r>
            <w:r>
              <w:rPr>
                <w:rFonts w:hint="eastAsia" w:ascii="黑体" w:hAnsi="黑体" w:eastAsia="黑体" w:cs="宋体"/>
                <w:color w:val="auto"/>
                <w:kern w:val="0"/>
                <w:sz w:val="20"/>
                <w:szCs w:val="20"/>
                <w:lang w:val="en-US" w:eastAsia="zh-CN"/>
              </w:rPr>
              <w:t>2</w:t>
            </w:r>
            <w:r>
              <w:rPr>
                <w:rFonts w:hint="eastAsia" w:ascii="黑体" w:hAnsi="黑体" w:eastAsia="黑体" w:cs="宋体"/>
                <w:color w:val="auto"/>
                <w:kern w:val="0"/>
                <w:sz w:val="20"/>
                <w:szCs w:val="20"/>
              </w:rPr>
              <w:t>项）</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　</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　</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　</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w:t>
            </w:r>
            <w:r>
              <w:rPr>
                <w:rFonts w:hint="eastAsia" w:eastAsia="宋体"/>
                <w:color w:val="auto"/>
                <w:kern w:val="0"/>
                <w:sz w:val="20"/>
                <w:szCs w:val="20"/>
              </w:rPr>
              <w:t>0</w:t>
            </w:r>
            <w:r>
              <w:rPr>
                <w:rFonts w:hint="eastAsia" w:eastAsia="宋体"/>
                <w:color w:val="auto"/>
                <w:kern w:val="0"/>
                <w:sz w:val="20"/>
                <w:szCs w:val="20"/>
                <w:lang w:val="en-US" w:eastAsia="zh-CN"/>
              </w:rPr>
              <w:t>81</w:t>
            </w:r>
            <w:r>
              <w:rPr>
                <w:rFonts w:eastAsia="宋体"/>
                <w:color w:val="auto"/>
                <w:kern w:val="0"/>
                <w:sz w:val="20"/>
                <w:szCs w:val="20"/>
              </w:rPr>
              <w:t>.1</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hint="eastAsia" w:eastAsia="宋体"/>
                <w:color w:val="auto"/>
                <w:kern w:val="0"/>
                <w:sz w:val="20"/>
                <w:szCs w:val="20"/>
                <w:lang w:val="en-US" w:eastAsia="zh-CN"/>
              </w:rPr>
              <w:t>999</w:t>
            </w:r>
            <w:r>
              <w:rPr>
                <w:rFonts w:eastAsia="宋体"/>
                <w:color w:val="auto"/>
                <w:kern w:val="0"/>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r>
              <w:rPr>
                <w:rFonts w:hint="eastAsia" w:eastAsia="宋体"/>
                <w:color w:val="auto"/>
                <w:kern w:val="0"/>
                <w:sz w:val="20"/>
                <w:szCs w:val="20"/>
                <w:lang w:val="en-US" w:eastAsia="zh-CN"/>
              </w:rPr>
              <w:t>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南郑廉泉新区综合开发建设工程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建设堤、路、桥、岸、绿化、亮化及河道水域景观设施。开发建设国际生物多样性艺术创业创新产业区。集商业、专业特色市场、旅游休闲、度假疗养、商务酒店、高品质住宅等功能区域</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南郑县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2013-2023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1</w:t>
            </w:r>
            <w:r>
              <w:rPr>
                <w:rFonts w:hint="eastAsia" w:eastAsia="宋体"/>
                <w:color w:val="auto"/>
                <w:kern w:val="0"/>
                <w:sz w:val="20"/>
                <w:szCs w:val="20"/>
                <w:lang w:val="en-US" w:eastAsia="zh-CN"/>
              </w:rPr>
              <w:t>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商洛重点镇建设工程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w:t>
            </w:r>
            <w:r>
              <w:rPr>
                <w:rFonts w:eastAsia="仿宋_GB2312"/>
                <w:color w:val="auto"/>
                <w:kern w:val="0"/>
                <w:sz w:val="20"/>
                <w:szCs w:val="20"/>
              </w:rPr>
              <w:t>22</w:t>
            </w:r>
            <w:r>
              <w:rPr>
                <w:rFonts w:hint="eastAsia" w:ascii="仿宋_GB2312" w:hAnsi="宋体" w:eastAsia="仿宋_GB2312" w:cs="宋体"/>
                <w:color w:val="auto"/>
                <w:kern w:val="0"/>
                <w:sz w:val="20"/>
                <w:szCs w:val="20"/>
              </w:rPr>
              <w:t>个重点镇，新修道路等基础设施及广场等公共服务设施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1</w:t>
            </w:r>
            <w:r>
              <w:rPr>
                <w:rFonts w:hint="eastAsia" w:eastAsia="宋体"/>
                <w:color w:val="auto"/>
                <w:kern w:val="0"/>
                <w:sz w:val="20"/>
                <w:szCs w:val="20"/>
                <w:lang w:val="en-US" w:eastAsia="zh-CN"/>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汉江汉中段流域水生态修复与保护工程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通过水污染防治、生态湿地修复与保护、生物多样性的保护与促进、景观文化公园建设、美丽乡村建设、垃圾收集与处理等八项工程措施以及水生态监测系统等非工程措施进行汉江流域（汉中段）水生态系统的保护与修复</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相关县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1</w:t>
            </w:r>
            <w:r>
              <w:rPr>
                <w:rFonts w:hint="eastAsia" w:eastAsia="宋体"/>
                <w:color w:val="auto"/>
                <w:kern w:val="0"/>
                <w:sz w:val="20"/>
                <w:szCs w:val="20"/>
                <w:lang w:val="en-US" w:eastAsia="zh-CN"/>
              </w:rPr>
              <w:t>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安康城镇污水垃圾处理工程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实施建民、江南等</w:t>
            </w:r>
            <w:r>
              <w:rPr>
                <w:rFonts w:eastAsia="仿宋_GB2312"/>
                <w:color w:val="auto"/>
                <w:kern w:val="0"/>
                <w:sz w:val="20"/>
                <w:szCs w:val="20"/>
              </w:rPr>
              <w:t>7</w:t>
            </w:r>
            <w:r>
              <w:rPr>
                <w:rFonts w:hint="eastAsia" w:ascii="仿宋_GB2312" w:hAnsi="宋体" w:eastAsia="仿宋_GB2312" w:cs="宋体"/>
                <w:color w:val="auto"/>
                <w:kern w:val="0"/>
                <w:sz w:val="20"/>
                <w:szCs w:val="20"/>
              </w:rPr>
              <w:t>个污水处理厂提升改造工程；建设镇级配套污水设施及管网；建设镇级垃圾</w:t>
            </w:r>
            <w:r>
              <w:rPr>
                <w:rFonts w:hint="eastAsia" w:ascii="仿宋_GB2312" w:hAnsi="宋体" w:eastAsia="仿宋_GB2312" w:cs="宋体"/>
                <w:color w:val="auto"/>
                <w:kern w:val="0"/>
                <w:sz w:val="20"/>
                <w:szCs w:val="20"/>
                <w:lang w:eastAsia="zh-CN"/>
              </w:rPr>
              <w:t>处理</w:t>
            </w:r>
            <w:r>
              <w:rPr>
                <w:rFonts w:hint="eastAsia" w:ascii="仿宋_GB2312" w:hAnsi="宋体" w:eastAsia="仿宋_GB2312" w:cs="宋体"/>
                <w:color w:val="auto"/>
                <w:kern w:val="0"/>
                <w:sz w:val="20"/>
                <w:szCs w:val="20"/>
              </w:rPr>
              <w:t>配套设施等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1</w:t>
            </w:r>
            <w:r>
              <w:rPr>
                <w:rFonts w:hint="eastAsia" w:eastAsia="宋体"/>
                <w:color w:val="auto"/>
                <w:kern w:val="0"/>
                <w:sz w:val="20"/>
                <w:szCs w:val="20"/>
                <w:lang w:val="en-US" w:eastAsia="zh-CN"/>
              </w:rPr>
              <w:t>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商洛南水北调重点镇垃圾污水处理工程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在主要流域沿线</w:t>
            </w:r>
            <w:r>
              <w:rPr>
                <w:rFonts w:eastAsia="仿宋_GB2312"/>
                <w:color w:val="auto"/>
                <w:kern w:val="0"/>
                <w:sz w:val="20"/>
                <w:szCs w:val="20"/>
              </w:rPr>
              <w:t>67</w:t>
            </w:r>
            <w:r>
              <w:rPr>
                <w:rFonts w:hint="eastAsia" w:ascii="仿宋_GB2312" w:hAnsi="宋体" w:eastAsia="仿宋_GB2312" w:cs="宋体"/>
                <w:color w:val="auto"/>
                <w:kern w:val="0"/>
                <w:sz w:val="20"/>
                <w:szCs w:val="20"/>
              </w:rPr>
              <w:t>个镇办建设</w:t>
            </w:r>
            <w:r>
              <w:rPr>
                <w:rFonts w:eastAsia="仿宋_GB2312"/>
                <w:color w:val="auto"/>
                <w:kern w:val="0"/>
                <w:sz w:val="20"/>
                <w:szCs w:val="20"/>
              </w:rPr>
              <w:t>123</w:t>
            </w:r>
            <w:r>
              <w:rPr>
                <w:rFonts w:hint="eastAsia" w:ascii="仿宋_GB2312" w:hAnsi="宋体" w:eastAsia="仿宋_GB2312" w:cs="宋体"/>
                <w:color w:val="auto"/>
                <w:kern w:val="0"/>
                <w:sz w:val="20"/>
                <w:szCs w:val="20"/>
              </w:rPr>
              <w:t>个垃圾污水项目</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商洛市相关六县区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1</w:t>
            </w:r>
            <w:r>
              <w:rPr>
                <w:rFonts w:hint="eastAsia" w:eastAsia="宋体"/>
                <w:color w:val="auto"/>
                <w:kern w:val="0"/>
                <w:sz w:val="20"/>
                <w:szCs w:val="20"/>
                <w:lang w:val="en-US" w:eastAsia="zh-CN"/>
              </w:rPr>
              <w:t>7</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商南工业园区</w:t>
            </w:r>
            <w:r>
              <w:rPr>
                <w:rFonts w:eastAsia="仿宋_GB2312"/>
                <w:color w:val="auto"/>
                <w:kern w:val="0"/>
                <w:sz w:val="20"/>
                <w:szCs w:val="20"/>
              </w:rPr>
              <w:t>“</w:t>
            </w:r>
            <w:r>
              <w:rPr>
                <w:rFonts w:hint="eastAsia" w:ascii="仿宋_GB2312" w:hAnsi="宋体" w:eastAsia="仿宋_GB2312" w:cs="宋体"/>
                <w:color w:val="auto"/>
                <w:kern w:val="0"/>
                <w:sz w:val="20"/>
                <w:szCs w:val="20"/>
              </w:rPr>
              <w:t>双创</w:t>
            </w:r>
            <w:r>
              <w:rPr>
                <w:rFonts w:eastAsia="仿宋_GB2312"/>
                <w:color w:val="auto"/>
                <w:kern w:val="0"/>
                <w:sz w:val="20"/>
                <w:szCs w:val="20"/>
              </w:rPr>
              <w:t>”</w:t>
            </w:r>
            <w:r>
              <w:rPr>
                <w:rFonts w:hint="eastAsia" w:ascii="仿宋_GB2312" w:hAnsi="宋体" w:eastAsia="仿宋_GB2312" w:cs="宋体"/>
                <w:color w:val="auto"/>
                <w:kern w:val="0"/>
                <w:sz w:val="20"/>
                <w:szCs w:val="20"/>
              </w:rPr>
              <w:t>基地</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土地综合治理</w:t>
            </w:r>
            <w:r>
              <w:rPr>
                <w:rFonts w:eastAsia="仿宋_GB2312"/>
                <w:color w:val="auto"/>
                <w:kern w:val="0"/>
                <w:sz w:val="20"/>
                <w:szCs w:val="20"/>
              </w:rPr>
              <w:t>893</w:t>
            </w:r>
            <w:r>
              <w:rPr>
                <w:rFonts w:hint="eastAsia" w:ascii="仿宋_GB2312" w:hAnsi="宋体" w:eastAsia="仿宋_GB2312" w:cs="宋体"/>
                <w:color w:val="auto"/>
                <w:kern w:val="0"/>
                <w:sz w:val="20"/>
                <w:szCs w:val="20"/>
              </w:rPr>
              <w:t>亩、挖填方</w:t>
            </w:r>
            <w:r>
              <w:rPr>
                <w:rFonts w:eastAsia="仿宋_GB2312"/>
                <w:color w:val="auto"/>
                <w:kern w:val="0"/>
                <w:sz w:val="20"/>
                <w:szCs w:val="20"/>
              </w:rPr>
              <w:t>226.2</w:t>
            </w:r>
            <w:r>
              <w:rPr>
                <w:rFonts w:hint="eastAsia" w:ascii="仿宋_GB2312" w:hAnsi="宋体" w:eastAsia="仿宋_GB2312" w:cs="宋体"/>
                <w:color w:val="auto"/>
                <w:kern w:val="0"/>
                <w:sz w:val="20"/>
                <w:szCs w:val="20"/>
              </w:rPr>
              <w:t>万立方米，拆迁</w:t>
            </w:r>
            <w:r>
              <w:rPr>
                <w:rFonts w:eastAsia="仿宋_GB2312"/>
                <w:color w:val="auto"/>
                <w:kern w:val="0"/>
                <w:sz w:val="20"/>
                <w:szCs w:val="20"/>
              </w:rPr>
              <w:t>19</w:t>
            </w:r>
            <w:r>
              <w:rPr>
                <w:rFonts w:hint="eastAsia" w:ascii="仿宋_GB2312" w:hAnsi="宋体" w:eastAsia="仿宋_GB2312" w:cs="宋体"/>
                <w:color w:val="auto"/>
                <w:kern w:val="0"/>
                <w:sz w:val="20"/>
                <w:szCs w:val="20"/>
              </w:rPr>
              <w:t>户；新建标准化厂房</w:t>
            </w:r>
            <w:r>
              <w:rPr>
                <w:rFonts w:eastAsia="仿宋_GB2312"/>
                <w:color w:val="auto"/>
                <w:kern w:val="0"/>
                <w:sz w:val="20"/>
                <w:szCs w:val="20"/>
              </w:rPr>
              <w:t>25</w:t>
            </w:r>
            <w:r>
              <w:rPr>
                <w:rFonts w:hint="eastAsia" w:ascii="仿宋_GB2312" w:hAnsi="宋体" w:eastAsia="仿宋_GB2312" w:cs="宋体"/>
                <w:color w:val="auto"/>
                <w:kern w:val="0"/>
                <w:sz w:val="20"/>
                <w:szCs w:val="20"/>
              </w:rPr>
              <w:t>栋、道路</w:t>
            </w:r>
            <w:r>
              <w:rPr>
                <w:rFonts w:eastAsia="仿宋_GB2312"/>
                <w:color w:val="auto"/>
                <w:kern w:val="0"/>
                <w:sz w:val="20"/>
                <w:szCs w:val="20"/>
              </w:rPr>
              <w:t>2600</w:t>
            </w:r>
            <w:r>
              <w:rPr>
                <w:rFonts w:hint="eastAsia" w:ascii="仿宋_GB2312" w:hAnsi="宋体" w:eastAsia="仿宋_GB2312" w:cs="宋体"/>
                <w:color w:val="auto"/>
                <w:kern w:val="0"/>
                <w:sz w:val="20"/>
                <w:szCs w:val="20"/>
              </w:rPr>
              <w:t>米，配套建设管网、水电照明、绿化亮化工程等</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1</w:t>
            </w:r>
            <w:r>
              <w:rPr>
                <w:rFonts w:hint="eastAsia" w:eastAsia="宋体"/>
                <w:color w:val="auto"/>
                <w:kern w:val="0"/>
                <w:sz w:val="20"/>
                <w:szCs w:val="20"/>
                <w:lang w:val="en-US" w:eastAsia="zh-CN"/>
              </w:rPr>
              <w:t>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汉中火车站站前南广场改扩建工程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建设集散及景观广场、停车场、长途客运站、商业开发等</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lang w:val="en-US" w:eastAsia="zh-CN"/>
              </w:rPr>
              <w:t>19</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汉中城市综合管廊建设工程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新建南团结街等</w:t>
            </w:r>
            <w:r>
              <w:rPr>
                <w:rFonts w:eastAsia="仿宋_GB2312"/>
                <w:color w:val="auto"/>
                <w:kern w:val="0"/>
                <w:sz w:val="20"/>
                <w:szCs w:val="20"/>
              </w:rPr>
              <w:t>8</w:t>
            </w:r>
            <w:r>
              <w:rPr>
                <w:rFonts w:hint="eastAsia" w:ascii="仿宋_GB2312" w:hAnsi="宋体" w:eastAsia="仿宋_GB2312" w:cs="宋体"/>
                <w:color w:val="auto"/>
                <w:kern w:val="0"/>
                <w:sz w:val="20"/>
                <w:szCs w:val="20"/>
              </w:rPr>
              <w:t>条城市道路综合管廊。</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r>
              <w:rPr>
                <w:rFonts w:hint="eastAsia" w:eastAsia="宋体"/>
                <w:color w:val="auto"/>
                <w:kern w:val="0"/>
                <w:sz w:val="20"/>
                <w:szCs w:val="20"/>
                <w:lang w:val="en-US" w:eastAsia="zh-CN"/>
              </w:rPr>
              <w:t>0</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汉中中心城区污水处理与雨污分流工程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建设日处理污水</w:t>
            </w:r>
            <w:r>
              <w:rPr>
                <w:rFonts w:eastAsia="仿宋_GB2312"/>
                <w:color w:val="auto"/>
                <w:kern w:val="0"/>
                <w:sz w:val="20"/>
                <w:szCs w:val="20"/>
              </w:rPr>
              <w:t>15</w:t>
            </w:r>
            <w:r>
              <w:rPr>
                <w:rFonts w:hint="eastAsia" w:ascii="仿宋_GB2312" w:hAnsi="宋体" w:eastAsia="仿宋_GB2312" w:cs="宋体"/>
                <w:color w:val="auto"/>
                <w:kern w:val="0"/>
                <w:sz w:val="20"/>
                <w:szCs w:val="20"/>
              </w:rPr>
              <w:t>万吨和</w:t>
            </w:r>
            <w:r>
              <w:rPr>
                <w:rFonts w:eastAsia="仿宋_GB2312"/>
                <w:color w:val="auto"/>
                <w:kern w:val="0"/>
                <w:sz w:val="20"/>
                <w:szCs w:val="20"/>
              </w:rPr>
              <w:t>3</w:t>
            </w:r>
            <w:r>
              <w:rPr>
                <w:rFonts w:hint="eastAsia" w:ascii="仿宋_GB2312" w:hAnsi="宋体" w:eastAsia="仿宋_GB2312" w:cs="宋体"/>
                <w:color w:val="auto"/>
                <w:kern w:val="0"/>
                <w:sz w:val="20"/>
                <w:szCs w:val="20"/>
              </w:rPr>
              <w:t>万吨的污水处理厂一座，并配套建设截污管道。对中心城区的</w:t>
            </w:r>
            <w:r>
              <w:rPr>
                <w:rFonts w:eastAsia="仿宋_GB2312"/>
                <w:color w:val="auto"/>
                <w:kern w:val="0"/>
                <w:sz w:val="20"/>
                <w:szCs w:val="20"/>
              </w:rPr>
              <w:t>50</w:t>
            </w:r>
            <w:r>
              <w:rPr>
                <w:rFonts w:hint="eastAsia" w:ascii="仿宋_GB2312" w:hAnsi="宋体" w:eastAsia="仿宋_GB2312" w:cs="宋体"/>
                <w:color w:val="auto"/>
                <w:kern w:val="0"/>
                <w:sz w:val="20"/>
                <w:szCs w:val="20"/>
              </w:rPr>
              <w:t>公里合流管进行雨污分流改造，在排洪渠设置</w:t>
            </w:r>
            <w:r>
              <w:rPr>
                <w:rFonts w:eastAsia="仿宋_GB2312"/>
                <w:color w:val="auto"/>
                <w:kern w:val="0"/>
                <w:sz w:val="20"/>
                <w:szCs w:val="20"/>
              </w:rPr>
              <w:t>30</w:t>
            </w:r>
            <w:r>
              <w:rPr>
                <w:rFonts w:hint="eastAsia" w:ascii="仿宋_GB2312" w:hAnsi="宋体" w:eastAsia="仿宋_GB2312" w:cs="宋体"/>
                <w:color w:val="auto"/>
                <w:kern w:val="0"/>
                <w:sz w:val="20"/>
                <w:szCs w:val="20"/>
              </w:rPr>
              <w:t>公里截污管，并新建</w:t>
            </w:r>
            <w:r>
              <w:rPr>
                <w:rFonts w:eastAsia="仿宋_GB2312"/>
                <w:color w:val="auto"/>
                <w:kern w:val="0"/>
                <w:sz w:val="20"/>
                <w:szCs w:val="20"/>
              </w:rPr>
              <w:t>69</w:t>
            </w:r>
            <w:r>
              <w:rPr>
                <w:rFonts w:hint="eastAsia" w:ascii="仿宋_GB2312" w:hAnsi="宋体" w:eastAsia="仿宋_GB2312" w:cs="宋体"/>
                <w:color w:val="auto"/>
                <w:kern w:val="0"/>
                <w:sz w:val="20"/>
                <w:szCs w:val="20"/>
              </w:rPr>
              <w:t>公里的污水主管道等</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r>
              <w:rPr>
                <w:rFonts w:hint="eastAsia" w:eastAsia="宋体"/>
                <w:color w:val="auto"/>
                <w:kern w:val="0"/>
                <w:sz w:val="20"/>
                <w:szCs w:val="20"/>
                <w:lang w:val="en-US" w:eastAsia="zh-CN"/>
              </w:rPr>
              <w:t>1</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安康江南老城区路网</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包含东坝市政道路路网工程、兴安路、金州路、巴山路、西内环路、市委东侧香溪路改造，建设高井路二期、高井一路、南山路、南平路、安远路二期、南环干道辅道等道路</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23</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r>
              <w:rPr>
                <w:rFonts w:hint="eastAsia" w:eastAsia="宋体"/>
                <w:color w:val="auto"/>
                <w:kern w:val="0"/>
                <w:sz w:val="20"/>
                <w:szCs w:val="20"/>
                <w:lang w:val="en-US" w:eastAsia="zh-CN"/>
              </w:rPr>
              <w:t>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安康江北新区路网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包含环城干道江北段、月河快速干道、月河大道、黄沟东路、黄沟西路、晏台东路、江北大道东段、滨江大道三期东段、迎宾大道等道路建设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r>
              <w:rPr>
                <w:rFonts w:hint="eastAsia" w:eastAsia="宋体"/>
                <w:color w:val="auto"/>
                <w:kern w:val="0"/>
                <w:sz w:val="20"/>
                <w:szCs w:val="20"/>
                <w:lang w:val="en-US" w:eastAsia="zh-CN"/>
              </w:rPr>
              <w:t>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安康中心城市地下综合管廊</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世纪大道、环城干道江北段、月河快速干道、长春路、东坝市政道路、创业大道、高新大道等道路地下综合管廊建设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2</w:t>
            </w:r>
            <w:r>
              <w:rPr>
                <w:rFonts w:hint="eastAsia" w:eastAsia="宋体"/>
                <w:color w:val="auto"/>
                <w:kern w:val="0"/>
                <w:sz w:val="20"/>
                <w:szCs w:val="20"/>
                <w:lang w:val="en-US" w:eastAsia="zh-CN"/>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安康海绵城市建设工程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通过</w:t>
            </w:r>
            <w:r>
              <w:rPr>
                <w:rFonts w:eastAsia="仿宋_GB2312"/>
                <w:color w:val="auto"/>
                <w:kern w:val="0"/>
                <w:sz w:val="20"/>
                <w:szCs w:val="20"/>
              </w:rPr>
              <w:t>“</w:t>
            </w:r>
            <w:r>
              <w:rPr>
                <w:rFonts w:hint="eastAsia" w:ascii="仿宋_GB2312" w:hAnsi="宋体" w:eastAsia="仿宋_GB2312" w:cs="宋体"/>
                <w:color w:val="auto"/>
                <w:kern w:val="0"/>
                <w:sz w:val="20"/>
                <w:szCs w:val="20"/>
              </w:rPr>
              <w:t>渗、滞、蓄、净、用、排</w:t>
            </w:r>
            <w:r>
              <w:rPr>
                <w:rFonts w:eastAsia="仿宋_GB2312"/>
                <w:color w:val="auto"/>
                <w:kern w:val="0"/>
                <w:sz w:val="20"/>
                <w:szCs w:val="20"/>
              </w:rPr>
              <w:t>”</w:t>
            </w:r>
            <w:r>
              <w:rPr>
                <w:rFonts w:hint="eastAsia" w:ascii="仿宋_GB2312" w:hAnsi="宋体" w:eastAsia="仿宋_GB2312" w:cs="宋体"/>
                <w:color w:val="auto"/>
                <w:kern w:val="0"/>
                <w:sz w:val="20"/>
                <w:szCs w:val="20"/>
              </w:rPr>
              <w:t>等工程措施，让城市像海绵一样，在适应环境变化和应对自然灾害等方面具有良好的</w:t>
            </w:r>
            <w:r>
              <w:rPr>
                <w:rFonts w:eastAsia="仿宋_GB2312"/>
                <w:color w:val="auto"/>
                <w:kern w:val="0"/>
                <w:sz w:val="20"/>
                <w:szCs w:val="20"/>
              </w:rPr>
              <w:t>“</w:t>
            </w:r>
            <w:r>
              <w:rPr>
                <w:rFonts w:hint="eastAsia" w:ascii="仿宋_GB2312" w:hAnsi="宋体" w:eastAsia="仿宋_GB2312" w:cs="宋体"/>
                <w:color w:val="auto"/>
                <w:kern w:val="0"/>
                <w:sz w:val="20"/>
                <w:szCs w:val="20"/>
              </w:rPr>
              <w:t>弹性</w:t>
            </w:r>
            <w:r>
              <w:rPr>
                <w:rFonts w:eastAsia="仿宋_GB2312"/>
                <w:color w:val="auto"/>
                <w:kern w:val="0"/>
                <w:sz w:val="20"/>
                <w:szCs w:val="20"/>
              </w:rPr>
              <w:t>”</w:t>
            </w:r>
            <w:r>
              <w:rPr>
                <w:rFonts w:hint="eastAsia" w:ascii="仿宋_GB2312" w:hAnsi="宋体" w:eastAsia="仿宋_GB2312" w:cs="宋体"/>
                <w:color w:val="auto"/>
                <w:kern w:val="0"/>
                <w:sz w:val="20"/>
                <w:szCs w:val="20"/>
              </w:rPr>
              <w:t>，下雨时吸水、蓄水、渗水、净水，需要时将蓄存的水</w:t>
            </w:r>
            <w:r>
              <w:rPr>
                <w:rFonts w:eastAsia="仿宋_GB2312"/>
                <w:color w:val="auto"/>
                <w:kern w:val="0"/>
                <w:sz w:val="20"/>
                <w:szCs w:val="20"/>
              </w:rPr>
              <w:t>“</w:t>
            </w:r>
            <w:r>
              <w:rPr>
                <w:rFonts w:hint="eastAsia" w:ascii="仿宋_GB2312" w:hAnsi="宋体" w:eastAsia="仿宋_GB2312" w:cs="宋体"/>
                <w:color w:val="auto"/>
                <w:kern w:val="0"/>
                <w:sz w:val="20"/>
                <w:szCs w:val="20"/>
              </w:rPr>
              <w:t>释放</w:t>
            </w:r>
            <w:r>
              <w:rPr>
                <w:rFonts w:eastAsia="仿宋_GB2312"/>
                <w:color w:val="auto"/>
                <w:kern w:val="0"/>
                <w:sz w:val="20"/>
                <w:szCs w:val="20"/>
              </w:rPr>
              <w:t>”</w:t>
            </w:r>
            <w:r>
              <w:rPr>
                <w:rFonts w:hint="eastAsia" w:ascii="仿宋_GB2312" w:hAnsi="宋体" w:eastAsia="仿宋_GB2312" w:cs="宋体"/>
                <w:color w:val="auto"/>
                <w:kern w:val="0"/>
                <w:sz w:val="20"/>
                <w:szCs w:val="20"/>
              </w:rPr>
              <w:t>并加以利用，变</w:t>
            </w:r>
            <w:r>
              <w:rPr>
                <w:rFonts w:eastAsia="仿宋_GB2312"/>
                <w:color w:val="auto"/>
                <w:kern w:val="0"/>
                <w:sz w:val="20"/>
                <w:szCs w:val="20"/>
              </w:rPr>
              <w:t>“</w:t>
            </w:r>
            <w:r>
              <w:rPr>
                <w:rFonts w:hint="eastAsia" w:ascii="仿宋_GB2312" w:hAnsi="宋体" w:eastAsia="仿宋_GB2312" w:cs="宋体"/>
                <w:color w:val="auto"/>
                <w:kern w:val="0"/>
                <w:sz w:val="20"/>
                <w:szCs w:val="20"/>
              </w:rPr>
              <w:t>工程治水</w:t>
            </w:r>
            <w:r>
              <w:rPr>
                <w:rFonts w:eastAsia="仿宋_GB2312"/>
                <w:color w:val="auto"/>
                <w:kern w:val="0"/>
                <w:sz w:val="20"/>
                <w:szCs w:val="20"/>
              </w:rPr>
              <w:t>”</w:t>
            </w:r>
            <w:r>
              <w:rPr>
                <w:rFonts w:hint="eastAsia" w:ascii="仿宋_GB2312" w:hAnsi="宋体" w:eastAsia="仿宋_GB2312" w:cs="宋体"/>
                <w:color w:val="auto"/>
                <w:kern w:val="0"/>
                <w:sz w:val="20"/>
                <w:szCs w:val="20"/>
              </w:rPr>
              <w:t>为</w:t>
            </w:r>
            <w:r>
              <w:rPr>
                <w:rFonts w:eastAsia="仿宋_GB2312"/>
                <w:color w:val="auto"/>
                <w:kern w:val="0"/>
                <w:sz w:val="20"/>
                <w:szCs w:val="20"/>
              </w:rPr>
              <w:t>“</w:t>
            </w:r>
            <w:r>
              <w:rPr>
                <w:rFonts w:hint="eastAsia" w:ascii="仿宋_GB2312" w:hAnsi="宋体" w:eastAsia="仿宋_GB2312" w:cs="宋体"/>
                <w:color w:val="auto"/>
                <w:kern w:val="0"/>
                <w:sz w:val="20"/>
                <w:szCs w:val="20"/>
              </w:rPr>
              <w:t>生态治水</w:t>
            </w:r>
            <w:r>
              <w:rPr>
                <w:rFonts w:eastAsia="仿宋_GB2312"/>
                <w:color w:val="auto"/>
                <w:kern w:val="0"/>
                <w:sz w:val="20"/>
                <w:szCs w:val="20"/>
              </w:rPr>
              <w:t>”</w:t>
            </w:r>
            <w:r>
              <w:rPr>
                <w:rFonts w:hint="eastAsia" w:ascii="仿宋_GB2312" w:hAnsi="宋体" w:eastAsia="仿宋_GB2312" w:cs="宋体"/>
                <w:color w:val="auto"/>
                <w:kern w:val="0"/>
                <w:sz w:val="20"/>
                <w:szCs w:val="20"/>
              </w:rPr>
              <w:t>，促进城市顺畅</w:t>
            </w:r>
            <w:r>
              <w:rPr>
                <w:rFonts w:eastAsia="仿宋_GB2312"/>
                <w:color w:val="auto"/>
                <w:kern w:val="0"/>
                <w:sz w:val="20"/>
                <w:szCs w:val="20"/>
              </w:rPr>
              <w:t>“</w:t>
            </w:r>
            <w:r>
              <w:rPr>
                <w:rFonts w:hint="eastAsia" w:ascii="仿宋_GB2312" w:hAnsi="宋体" w:eastAsia="仿宋_GB2312" w:cs="宋体"/>
                <w:color w:val="auto"/>
                <w:kern w:val="0"/>
                <w:sz w:val="20"/>
                <w:szCs w:val="20"/>
              </w:rPr>
              <w:t>吐纳呼吸</w:t>
            </w:r>
            <w:r>
              <w:rPr>
                <w:rFonts w:eastAsia="仿宋_GB2312"/>
                <w:color w:val="auto"/>
                <w:kern w:val="0"/>
                <w:sz w:val="20"/>
                <w:szCs w:val="20"/>
              </w:rPr>
              <w:t>”</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2</w:t>
            </w:r>
            <w:r>
              <w:rPr>
                <w:rFonts w:hint="eastAsia" w:eastAsia="宋体"/>
                <w:color w:val="auto"/>
                <w:kern w:val="0"/>
                <w:sz w:val="20"/>
                <w:szCs w:val="20"/>
                <w:lang w:val="en-US" w:eastAsia="zh-CN"/>
              </w:rPr>
              <w:t>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气化商洛</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建设商州至洛南、商州至山阳、丹凤至商南、镇安至柞水天然气长输管线</w:t>
            </w:r>
            <w:r>
              <w:rPr>
                <w:rFonts w:eastAsia="仿宋_GB2312"/>
                <w:color w:val="auto"/>
                <w:kern w:val="0"/>
                <w:sz w:val="20"/>
                <w:szCs w:val="20"/>
              </w:rPr>
              <w:t>200</w:t>
            </w:r>
            <w:r>
              <w:rPr>
                <w:rFonts w:hint="eastAsia" w:ascii="仿宋_GB2312" w:hAnsi="宋体" w:eastAsia="仿宋_GB2312" w:cs="宋体"/>
                <w:color w:val="auto"/>
                <w:kern w:val="0"/>
                <w:sz w:val="20"/>
                <w:szCs w:val="20"/>
              </w:rPr>
              <w:t>公里，配套建设分输站、阀室、加气站等设施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2</w:t>
            </w:r>
            <w:r>
              <w:rPr>
                <w:rFonts w:hint="eastAsia" w:eastAsia="宋体"/>
                <w:color w:val="auto"/>
                <w:kern w:val="0"/>
                <w:sz w:val="20"/>
                <w:szCs w:val="20"/>
                <w:lang w:val="en-US" w:eastAsia="zh-CN"/>
              </w:rPr>
              <w:t>6</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商洛城镇供热工程</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中心城市及六县城集中供热</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2016-2019</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2</w:t>
            </w:r>
            <w:r>
              <w:rPr>
                <w:rFonts w:hint="eastAsia" w:eastAsia="宋体"/>
                <w:color w:val="auto"/>
                <w:kern w:val="0"/>
                <w:sz w:val="20"/>
                <w:szCs w:val="20"/>
                <w:lang w:val="en-US" w:eastAsia="zh-CN"/>
              </w:rPr>
              <w:t>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商洛城乡供水工程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中心城区建设第三、第四水厂，改造老城区供水管网及城北高区供水主干管，六县城新建、改建</w:t>
            </w:r>
            <w:r>
              <w:rPr>
                <w:rFonts w:eastAsia="仿宋_GB2312"/>
                <w:color w:val="auto"/>
                <w:kern w:val="0"/>
                <w:sz w:val="20"/>
                <w:szCs w:val="20"/>
              </w:rPr>
              <w:t>13</w:t>
            </w:r>
            <w:r>
              <w:rPr>
                <w:rFonts w:hint="eastAsia" w:ascii="仿宋_GB2312" w:hAnsi="宋体" w:eastAsia="仿宋_GB2312" w:cs="宋体"/>
                <w:color w:val="auto"/>
                <w:kern w:val="0"/>
                <w:sz w:val="20"/>
                <w:szCs w:val="20"/>
              </w:rPr>
              <w:t>座水厂，铺设供水管网</w:t>
            </w:r>
            <w:r>
              <w:rPr>
                <w:rFonts w:eastAsia="仿宋_GB2312"/>
                <w:color w:val="auto"/>
                <w:kern w:val="0"/>
                <w:sz w:val="20"/>
                <w:szCs w:val="20"/>
              </w:rPr>
              <w:t>403</w:t>
            </w:r>
            <w:r>
              <w:rPr>
                <w:rFonts w:hint="eastAsia" w:ascii="仿宋_GB2312" w:hAnsi="宋体" w:eastAsia="仿宋_GB2312" w:cs="宋体"/>
                <w:color w:val="auto"/>
                <w:kern w:val="0"/>
                <w:sz w:val="20"/>
                <w:szCs w:val="20"/>
              </w:rPr>
              <w:t>公里，农村安全饮水提升改造工程</w:t>
            </w:r>
            <w:r>
              <w:rPr>
                <w:rFonts w:eastAsia="仿宋_GB2312"/>
                <w:color w:val="auto"/>
                <w:kern w:val="0"/>
                <w:sz w:val="20"/>
                <w:szCs w:val="20"/>
              </w:rPr>
              <w:t>534</w:t>
            </w:r>
            <w:r>
              <w:rPr>
                <w:rFonts w:hint="eastAsia" w:ascii="仿宋_GB2312" w:hAnsi="宋体" w:eastAsia="仿宋_GB2312" w:cs="宋体"/>
                <w:color w:val="auto"/>
                <w:kern w:val="0"/>
                <w:sz w:val="20"/>
                <w:szCs w:val="20"/>
              </w:rPr>
              <w:t>处</w:t>
            </w:r>
            <w:r>
              <w:rPr>
                <w:rFonts w:eastAsia="仿宋_GB2312"/>
                <w:color w:val="auto"/>
                <w:kern w:val="0"/>
                <w:sz w:val="20"/>
                <w:szCs w:val="20"/>
              </w:rPr>
              <w:t>92</w:t>
            </w:r>
            <w:r>
              <w:rPr>
                <w:rFonts w:hint="eastAsia" w:ascii="仿宋_GB2312" w:hAnsi="宋体" w:eastAsia="仿宋_GB2312" w:cs="宋体"/>
                <w:color w:val="auto"/>
                <w:kern w:val="0"/>
                <w:sz w:val="20"/>
                <w:szCs w:val="20"/>
              </w:rPr>
              <w:t>万人</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lang w:val="en-US" w:eastAsia="zh-CN"/>
              </w:rPr>
              <w:t>28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商洛中心城市门户区建设工程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中心城市东、西、南、北</w:t>
            </w:r>
            <w:r>
              <w:rPr>
                <w:rFonts w:eastAsia="仿宋_GB2312"/>
                <w:color w:val="auto"/>
                <w:kern w:val="0"/>
                <w:sz w:val="20"/>
                <w:szCs w:val="20"/>
              </w:rPr>
              <w:t>4</w:t>
            </w:r>
            <w:r>
              <w:rPr>
                <w:rFonts w:hint="eastAsia" w:ascii="仿宋_GB2312" w:hAnsi="宋体" w:eastAsia="仿宋_GB2312" w:cs="宋体"/>
                <w:color w:val="auto"/>
                <w:kern w:val="0"/>
                <w:sz w:val="20"/>
                <w:szCs w:val="20"/>
              </w:rPr>
              <w:t>大门户区开发建设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商州区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2016-2018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lang w:val="en-US" w:eastAsia="zh-CN"/>
              </w:rPr>
              <w:t>29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商洛综合管廊及海绵城市建设工程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在中心城区及六县区建设综合管廊</w:t>
            </w:r>
            <w:r>
              <w:rPr>
                <w:rFonts w:eastAsia="仿宋_GB2312"/>
                <w:color w:val="auto"/>
                <w:kern w:val="0"/>
                <w:sz w:val="20"/>
                <w:szCs w:val="20"/>
              </w:rPr>
              <w:t>210</w:t>
            </w:r>
            <w:r>
              <w:rPr>
                <w:rFonts w:hint="eastAsia" w:ascii="仿宋_GB2312" w:hAnsi="宋体" w:eastAsia="仿宋_GB2312" w:cs="宋体"/>
                <w:color w:val="auto"/>
                <w:kern w:val="0"/>
                <w:sz w:val="20"/>
                <w:szCs w:val="20"/>
              </w:rPr>
              <w:t>公里，其中中心城区</w:t>
            </w:r>
            <w:r>
              <w:rPr>
                <w:rFonts w:eastAsia="仿宋_GB2312"/>
                <w:color w:val="auto"/>
                <w:kern w:val="0"/>
                <w:sz w:val="20"/>
                <w:szCs w:val="20"/>
              </w:rPr>
              <w:t>90</w:t>
            </w:r>
            <w:r>
              <w:rPr>
                <w:rFonts w:hint="eastAsia" w:ascii="仿宋_GB2312" w:hAnsi="宋体" w:eastAsia="仿宋_GB2312" w:cs="宋体"/>
                <w:color w:val="auto"/>
                <w:kern w:val="0"/>
                <w:sz w:val="20"/>
                <w:szCs w:val="20"/>
              </w:rPr>
              <w:t>公里，六县城区各</w:t>
            </w:r>
            <w:r>
              <w:rPr>
                <w:rFonts w:eastAsia="仿宋_GB2312"/>
                <w:color w:val="auto"/>
                <w:kern w:val="0"/>
                <w:sz w:val="20"/>
                <w:szCs w:val="20"/>
              </w:rPr>
              <w:t>20</w:t>
            </w:r>
            <w:r>
              <w:rPr>
                <w:rFonts w:hint="eastAsia" w:ascii="仿宋_GB2312" w:hAnsi="宋体" w:eastAsia="仿宋_GB2312" w:cs="宋体"/>
                <w:color w:val="auto"/>
                <w:kern w:val="0"/>
                <w:sz w:val="20"/>
                <w:szCs w:val="20"/>
              </w:rPr>
              <w:t>公里</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23</w:t>
            </w:r>
            <w:r>
              <w:rPr>
                <w:rFonts w:hint="eastAsia" w:eastAsia="宋体"/>
                <w:color w:val="auto"/>
                <w:kern w:val="0"/>
                <w:sz w:val="20"/>
                <w:szCs w:val="20"/>
                <w:lang w:val="en-US" w:eastAsia="zh-CN"/>
              </w:rPr>
              <w:t>0</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安康市生态养老城</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依托建民镇月河口、吉河镇银龙湾、高新区莲花湾、张滩镇立石村、江北办新义村，规划建设五个规模较大、功能完善、辐射力强的生态休闲养老园区。</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汉滨区</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23</w:t>
            </w:r>
            <w:r>
              <w:rPr>
                <w:rFonts w:hint="eastAsia" w:eastAsia="宋体"/>
                <w:color w:val="auto"/>
                <w:kern w:val="0"/>
                <w:sz w:val="20"/>
                <w:szCs w:val="20"/>
                <w:lang w:val="en-US" w:eastAsia="zh-CN"/>
              </w:rPr>
              <w:t>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安康一江两岸环江50KM核心景观轴带建设项目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包含滨江大道景观带、江滩公园、黄沟片区景观带、月河沿江景观带、奠安塔湿地公园、黄洋河湿地公园等重大工程</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w:t>
            </w:r>
          </w:p>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市区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w:t>
            </w:r>
            <w:r>
              <w:rPr>
                <w:rFonts w:hint="eastAsia" w:eastAsia="宋体"/>
                <w:color w:val="auto"/>
                <w:kern w:val="0"/>
                <w:sz w:val="20"/>
                <w:szCs w:val="20"/>
                <w:lang w:val="en-US" w:eastAsia="zh-CN"/>
              </w:rPr>
              <w:t>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安康市中心城市城区景观照明项目</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包含新建道路的功能性照明设施建设、陈旧道路的功能性照明设施建设、城乡结合部、新增背街小巷和村民巷道实施补光工程、一江两岸景观照明工程建设、周边山体节点亮化建设工作</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w:t>
            </w:r>
          </w:p>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市区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w:t>
            </w:r>
            <w:r>
              <w:rPr>
                <w:rFonts w:hint="eastAsia" w:eastAsia="宋体"/>
                <w:color w:val="auto"/>
                <w:kern w:val="0"/>
                <w:sz w:val="20"/>
                <w:szCs w:val="20"/>
                <w:lang w:val="en-US" w:eastAsia="zh-CN"/>
              </w:rPr>
              <w:t>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安康市城市公交总站</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建设三级客运站，日发量5000人次，包括站务大楼、加气站、停发车场以及站前广场，物流中转中心，快捷客运服务中心等设施</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高新区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2015-2016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nil"/>
              <w:left w:val="single" w:color="auto" w:sz="4" w:space="0"/>
              <w:bottom w:val="single" w:color="auto" w:sz="4" w:space="0"/>
              <w:right w:val="nil"/>
            </w:tcBorders>
            <w:noWrap w:val="0"/>
            <w:vAlign w:val="center"/>
          </w:tcPr>
          <w:p>
            <w:pPr>
              <w:widowControl/>
              <w:spacing w:line="240" w:lineRule="auto"/>
              <w:ind w:firstLine="0" w:firstLineChars="0"/>
              <w:jc w:val="center"/>
              <w:rPr>
                <w:rFonts w:ascii="黑体" w:hAnsi="黑体" w:eastAsia="黑体" w:cs="宋体"/>
                <w:color w:val="auto"/>
                <w:kern w:val="0"/>
                <w:sz w:val="20"/>
                <w:szCs w:val="20"/>
              </w:rPr>
            </w:pPr>
            <w:r>
              <w:rPr>
                <w:rFonts w:hint="eastAsia" w:ascii="黑体" w:hAnsi="黑体" w:eastAsia="黑体" w:cs="宋体"/>
                <w:color w:val="auto"/>
                <w:kern w:val="0"/>
                <w:sz w:val="20"/>
                <w:szCs w:val="20"/>
              </w:rPr>
              <w:t>五</w:t>
            </w:r>
          </w:p>
        </w:tc>
        <w:tc>
          <w:tcPr>
            <w:tcW w:w="3610" w:type="dxa"/>
            <w:tcBorders>
              <w:top w:val="nil"/>
              <w:left w:val="single" w:color="auto" w:sz="4" w:space="0"/>
              <w:bottom w:val="single" w:color="auto" w:sz="4" w:space="0"/>
              <w:right w:val="nil"/>
            </w:tcBorders>
            <w:noWrap w:val="0"/>
            <w:vAlign w:val="center"/>
          </w:tcPr>
          <w:p>
            <w:pPr>
              <w:widowControl/>
              <w:spacing w:line="240" w:lineRule="auto"/>
              <w:ind w:firstLine="0" w:firstLineChars="0"/>
              <w:jc w:val="left"/>
              <w:rPr>
                <w:rFonts w:ascii="黑体" w:hAnsi="黑体" w:eastAsia="黑体" w:cs="宋体"/>
                <w:color w:val="auto"/>
                <w:kern w:val="0"/>
                <w:sz w:val="20"/>
                <w:szCs w:val="20"/>
              </w:rPr>
            </w:pPr>
            <w:r>
              <w:rPr>
                <w:rFonts w:hint="eastAsia" w:ascii="黑体" w:hAnsi="黑体" w:eastAsia="黑体" w:cs="宋体"/>
                <w:color w:val="auto"/>
                <w:kern w:val="0"/>
                <w:sz w:val="20"/>
                <w:szCs w:val="20"/>
              </w:rPr>
              <w:t>生态环境建设工程（23项）</w:t>
            </w:r>
          </w:p>
        </w:tc>
        <w:tc>
          <w:tcPr>
            <w:tcW w:w="716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eastAsia="宋体"/>
                <w:color w:val="auto"/>
                <w:kern w:val="0"/>
                <w:sz w:val="20"/>
                <w:szCs w:val="20"/>
              </w:rPr>
            </w:pPr>
            <w:r>
              <w:rPr>
                <w:rFonts w:eastAsia="宋体"/>
                <w:color w:val="auto"/>
                <w:kern w:val="0"/>
                <w:sz w:val="20"/>
                <w:szCs w:val="20"/>
              </w:rPr>
              <w:t>　</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　</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　</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508</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w:t>
            </w:r>
            <w:r>
              <w:rPr>
                <w:rFonts w:hint="eastAsia" w:eastAsia="宋体"/>
                <w:color w:val="auto"/>
                <w:kern w:val="0"/>
                <w:sz w:val="20"/>
                <w:szCs w:val="20"/>
                <w:lang w:val="en-US" w:eastAsia="zh-CN"/>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长江流域防护林体系建设工程（三期）</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人工造林</w:t>
            </w:r>
            <w:r>
              <w:rPr>
                <w:rFonts w:eastAsia="仿宋_GB2312"/>
                <w:color w:val="auto"/>
                <w:kern w:val="0"/>
                <w:sz w:val="20"/>
                <w:szCs w:val="20"/>
              </w:rPr>
              <w:t>262.5</w:t>
            </w:r>
            <w:r>
              <w:rPr>
                <w:rFonts w:hint="eastAsia" w:ascii="仿宋_GB2312" w:hAnsi="宋体" w:eastAsia="仿宋_GB2312" w:cs="宋体"/>
                <w:color w:val="auto"/>
                <w:kern w:val="0"/>
                <w:sz w:val="20"/>
                <w:szCs w:val="20"/>
              </w:rPr>
              <w:t>万亩，封山育林</w:t>
            </w:r>
            <w:r>
              <w:rPr>
                <w:rFonts w:eastAsia="仿宋_GB2312"/>
                <w:color w:val="auto"/>
                <w:kern w:val="0"/>
                <w:sz w:val="20"/>
                <w:szCs w:val="20"/>
              </w:rPr>
              <w:t>410</w:t>
            </w:r>
            <w:r>
              <w:rPr>
                <w:rFonts w:hint="eastAsia" w:ascii="仿宋_GB2312" w:hAnsi="宋体" w:eastAsia="仿宋_GB2312" w:cs="宋体"/>
                <w:color w:val="auto"/>
                <w:kern w:val="0"/>
                <w:sz w:val="20"/>
                <w:szCs w:val="20"/>
              </w:rPr>
              <w:t>万亩</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陕南</w:t>
            </w:r>
          </w:p>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三市</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2011-2020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w:t>
            </w:r>
            <w:r>
              <w:rPr>
                <w:rFonts w:hint="eastAsia" w:eastAsia="宋体"/>
                <w:color w:val="auto"/>
                <w:kern w:val="0"/>
                <w:sz w:val="20"/>
                <w:szCs w:val="20"/>
                <w:lang w:val="en-US" w:eastAsia="zh-CN"/>
              </w:rPr>
              <w:t>5</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汉江城镇污水垃圾处理设施建设工程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在沿汉江</w:t>
            </w:r>
            <w:r>
              <w:rPr>
                <w:rFonts w:eastAsia="仿宋_GB2312"/>
                <w:color w:val="auto"/>
                <w:kern w:val="0"/>
                <w:sz w:val="20"/>
                <w:szCs w:val="20"/>
              </w:rPr>
              <w:t>39</w:t>
            </w:r>
            <w:r>
              <w:rPr>
                <w:rFonts w:hint="eastAsia" w:ascii="仿宋_GB2312" w:hAnsi="宋体" w:eastAsia="仿宋_GB2312" w:cs="宋体"/>
                <w:color w:val="auto"/>
                <w:kern w:val="0"/>
                <w:sz w:val="20"/>
                <w:szCs w:val="20"/>
              </w:rPr>
              <w:t>个建制镇新建污水处理设施、生活垃圾处理设施及配套管网</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相关县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36</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汉中航空智慧新城可再生能源利用工程</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利用垃圾焚烧发电；对污水处理厂的中水回用；对新城工业区固体废弃物的回收利用等</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2019-2020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37</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安康生物质废物综合利用工程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建设年处理</w:t>
            </w:r>
            <w:r>
              <w:rPr>
                <w:rFonts w:eastAsia="仿宋_GB2312"/>
                <w:color w:val="auto"/>
                <w:kern w:val="0"/>
                <w:sz w:val="20"/>
                <w:szCs w:val="20"/>
              </w:rPr>
              <w:t>40</w:t>
            </w:r>
            <w:r>
              <w:rPr>
                <w:rFonts w:hint="eastAsia" w:ascii="仿宋_GB2312" w:hAnsi="宋体" w:eastAsia="仿宋_GB2312" w:cs="宋体"/>
                <w:color w:val="auto"/>
                <w:kern w:val="0"/>
                <w:sz w:val="20"/>
                <w:szCs w:val="20"/>
              </w:rPr>
              <w:t>万吨秸秆、玉米秆综合利用生产线</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安康市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相关县区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38</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商洛尾矿资源综合利用工程</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实施尾矿及废渣有价组分回收、尾矿及废渣水泥、尾矿高附加值高技术新型材料、尾矿及废渣墙体砖等</w:t>
            </w:r>
            <w:r>
              <w:rPr>
                <w:rFonts w:eastAsia="仿宋_GB2312"/>
                <w:color w:val="auto"/>
                <w:kern w:val="0"/>
                <w:sz w:val="20"/>
                <w:szCs w:val="20"/>
              </w:rPr>
              <w:t>6</w:t>
            </w:r>
            <w:r>
              <w:rPr>
                <w:rFonts w:hint="eastAsia" w:ascii="仿宋_GB2312" w:hAnsi="宋体" w:eastAsia="仿宋_GB2312" w:cs="宋体"/>
                <w:color w:val="auto"/>
                <w:kern w:val="0"/>
                <w:sz w:val="20"/>
                <w:szCs w:val="20"/>
              </w:rPr>
              <w:t>大类资源综合利用项目</w:t>
            </w:r>
            <w:r>
              <w:rPr>
                <w:rFonts w:eastAsia="仿宋_GB2312"/>
                <w:color w:val="auto"/>
                <w:kern w:val="0"/>
                <w:sz w:val="20"/>
                <w:szCs w:val="20"/>
              </w:rPr>
              <w:t>30</w:t>
            </w:r>
            <w:r>
              <w:rPr>
                <w:rFonts w:hint="eastAsia" w:ascii="仿宋_GB2312" w:hAnsi="宋体" w:eastAsia="仿宋_GB2312" w:cs="宋体"/>
                <w:color w:val="auto"/>
                <w:kern w:val="0"/>
                <w:sz w:val="20"/>
                <w:szCs w:val="20"/>
              </w:rPr>
              <w:t>个</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39</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安康重金属污染防治工程</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矿区污染治理及生态修复项目；蒿坪河、月河、白石河等流域污染治理</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安康市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相关县区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r>
              <w:rPr>
                <w:rFonts w:hint="eastAsia" w:eastAsia="宋体"/>
                <w:color w:val="auto"/>
                <w:kern w:val="0"/>
                <w:sz w:val="20"/>
                <w:szCs w:val="20"/>
              </w:rPr>
              <w:t>0</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安康环保监管能力建设工程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市（县）级环境应急中心及物资储备项目；各县（区）环境监察、监测机构标准化建设；各县（区）环境自动监测体系建设；宣教、信息、固废、辐射等机构能力建设</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r>
              <w:rPr>
                <w:rFonts w:hint="eastAsia" w:eastAsia="宋体"/>
                <w:color w:val="auto"/>
                <w:kern w:val="0"/>
                <w:sz w:val="20"/>
                <w:szCs w:val="20"/>
              </w:rPr>
              <w:t>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安康生态建设综合监测平台</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建设市级综合监测平台及</w:t>
            </w:r>
            <w:r>
              <w:rPr>
                <w:rFonts w:eastAsia="仿宋_GB2312"/>
                <w:color w:val="auto"/>
                <w:kern w:val="0"/>
                <w:sz w:val="20"/>
                <w:szCs w:val="20"/>
              </w:rPr>
              <w:t>12</w:t>
            </w:r>
            <w:r>
              <w:rPr>
                <w:rFonts w:hint="eastAsia" w:ascii="仿宋_GB2312" w:hAnsi="宋体" w:eastAsia="仿宋_GB2312" w:cs="宋体"/>
                <w:color w:val="auto"/>
                <w:kern w:val="0"/>
                <w:sz w:val="20"/>
                <w:szCs w:val="20"/>
              </w:rPr>
              <w:t>个工业区，</w:t>
            </w:r>
            <w:r>
              <w:rPr>
                <w:rFonts w:eastAsia="仿宋_GB2312"/>
                <w:color w:val="auto"/>
                <w:kern w:val="0"/>
                <w:sz w:val="20"/>
                <w:szCs w:val="20"/>
              </w:rPr>
              <w:t>331</w:t>
            </w:r>
            <w:r>
              <w:rPr>
                <w:rFonts w:hint="eastAsia" w:ascii="仿宋_GB2312" w:hAnsi="宋体" w:eastAsia="仿宋_GB2312" w:cs="宋体"/>
                <w:color w:val="auto"/>
                <w:kern w:val="0"/>
                <w:sz w:val="20"/>
                <w:szCs w:val="20"/>
              </w:rPr>
              <w:t>个现代农业园区能源、污染物排放及碳汇一体化监测系统平台</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24</w:t>
            </w:r>
            <w:r>
              <w:rPr>
                <w:rFonts w:hint="eastAsia" w:eastAsia="宋体"/>
                <w:color w:val="auto"/>
                <w:kern w:val="0"/>
                <w:sz w:val="20"/>
                <w:szCs w:val="20"/>
              </w:rPr>
              <w:t>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安康轮胎再生循环利用工程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年处理轮胎量</w:t>
            </w:r>
            <w:r>
              <w:rPr>
                <w:rFonts w:eastAsia="仿宋_GB2312"/>
                <w:color w:val="auto"/>
                <w:kern w:val="0"/>
                <w:sz w:val="20"/>
                <w:szCs w:val="20"/>
              </w:rPr>
              <w:t>20</w:t>
            </w:r>
            <w:r>
              <w:rPr>
                <w:rFonts w:hint="eastAsia" w:ascii="仿宋_GB2312" w:hAnsi="宋体" w:eastAsia="仿宋_GB2312" w:cs="宋体"/>
                <w:color w:val="auto"/>
                <w:kern w:val="0"/>
                <w:sz w:val="20"/>
                <w:szCs w:val="20"/>
              </w:rPr>
              <w:t>万吨，一次建设完成配套公辅设施等</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4</w:t>
            </w:r>
            <w:r>
              <w:rPr>
                <w:rFonts w:hint="eastAsia" w:eastAsia="宋体"/>
                <w:color w:val="auto"/>
                <w:kern w:val="0"/>
                <w:sz w:val="20"/>
                <w:szCs w:val="20"/>
                <w:lang w:val="en-US" w:eastAsia="zh-CN"/>
              </w:rPr>
              <w:t>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安康水保生态工程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新增治理水土流失面积</w:t>
            </w:r>
            <w:r>
              <w:rPr>
                <w:rFonts w:eastAsia="仿宋_GB2312"/>
                <w:color w:val="auto"/>
                <w:kern w:val="0"/>
                <w:sz w:val="20"/>
                <w:szCs w:val="20"/>
              </w:rPr>
              <w:t>3100</w:t>
            </w:r>
            <w:r>
              <w:rPr>
                <w:rFonts w:hint="eastAsia" w:ascii="仿宋_GB2312" w:hAnsi="宋体" w:eastAsia="仿宋_GB2312" w:cs="宋体"/>
                <w:color w:val="auto"/>
                <w:kern w:val="0"/>
                <w:sz w:val="20"/>
                <w:szCs w:val="20"/>
              </w:rPr>
              <w:t>平方公里，包括新修基本农田、坡改果梯，营造经果林、水保林，种草，生态修复管护，配套小型水利水保工程等</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4</w:t>
            </w:r>
            <w:r>
              <w:rPr>
                <w:rFonts w:hint="eastAsia" w:eastAsia="宋体"/>
                <w:color w:val="auto"/>
                <w:kern w:val="0"/>
                <w:sz w:val="20"/>
                <w:szCs w:val="20"/>
                <w:lang w:val="en-US" w:eastAsia="zh-CN"/>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安康农业面源污染防治工程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建设畜禽养殖污染物利用项目、沼气项目；实现农村生活垃圾</w:t>
            </w:r>
            <w:r>
              <w:rPr>
                <w:rFonts w:eastAsia="仿宋_GB2312"/>
                <w:color w:val="auto"/>
                <w:kern w:val="0"/>
                <w:sz w:val="20"/>
                <w:szCs w:val="20"/>
              </w:rPr>
              <w:t>“</w:t>
            </w:r>
            <w:r>
              <w:rPr>
                <w:rFonts w:hint="eastAsia" w:ascii="仿宋_GB2312" w:hAnsi="宋体" w:eastAsia="仿宋_GB2312" w:cs="宋体"/>
                <w:color w:val="auto"/>
                <w:kern w:val="0"/>
                <w:sz w:val="20"/>
                <w:szCs w:val="20"/>
              </w:rPr>
              <w:t>户收集、村转运、镇处理</w:t>
            </w:r>
            <w:r>
              <w:rPr>
                <w:rFonts w:eastAsia="仿宋_GB2312"/>
                <w:color w:val="auto"/>
                <w:kern w:val="0"/>
                <w:sz w:val="20"/>
                <w:szCs w:val="20"/>
              </w:rPr>
              <w:t>”</w:t>
            </w:r>
            <w:r>
              <w:rPr>
                <w:rFonts w:hint="eastAsia" w:ascii="仿宋_GB2312" w:hAnsi="宋体" w:eastAsia="仿宋_GB2312" w:cs="宋体"/>
                <w:color w:val="auto"/>
                <w:kern w:val="0"/>
                <w:sz w:val="20"/>
                <w:szCs w:val="20"/>
              </w:rPr>
              <w:t>；划定畜禽养殖限养区和禁养区</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45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安康瀛湖湖泊生态环境保护试点工程（二期）</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eastAsia="宋体"/>
                <w:color w:val="auto"/>
                <w:kern w:val="0"/>
                <w:sz w:val="20"/>
                <w:szCs w:val="20"/>
              </w:rPr>
            </w:pPr>
            <w:r>
              <w:rPr>
                <w:rFonts w:hint="eastAsia" w:ascii="仿宋_GB2312" w:eastAsia="仿宋_GB2312"/>
                <w:color w:val="auto"/>
                <w:kern w:val="0"/>
                <w:sz w:val="20"/>
                <w:szCs w:val="20"/>
              </w:rPr>
              <w:t>实施生态修复、生态放养、污染源防治、湖泊综合治理、产业发展、生态移民工程和环境监管能力建设</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安康市瀛湖示范区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46</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西乡两河四岸综合开发</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对西乡县牧马河、泾洋河沿岸及交汇地带</w:t>
            </w:r>
            <w:r>
              <w:rPr>
                <w:rFonts w:eastAsia="仿宋_GB2312"/>
                <w:color w:val="auto"/>
                <w:kern w:val="0"/>
                <w:sz w:val="20"/>
                <w:szCs w:val="20"/>
              </w:rPr>
              <w:t>8</w:t>
            </w:r>
            <w:r>
              <w:rPr>
                <w:rFonts w:hint="eastAsia" w:ascii="仿宋_GB2312" w:hAnsi="宋体" w:eastAsia="仿宋_GB2312" w:cs="宋体"/>
                <w:color w:val="auto"/>
                <w:kern w:val="0"/>
                <w:sz w:val="20"/>
                <w:szCs w:val="20"/>
              </w:rPr>
              <w:t>平方公里进行综合治理及开发</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西乡县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47</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安康市林下发展工程</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林下种植</w:t>
            </w:r>
            <w:r>
              <w:rPr>
                <w:rFonts w:eastAsia="仿宋_GB2312"/>
                <w:color w:val="auto"/>
                <w:kern w:val="0"/>
                <w:sz w:val="20"/>
                <w:szCs w:val="20"/>
              </w:rPr>
              <w:t>50</w:t>
            </w:r>
            <w:r>
              <w:rPr>
                <w:rFonts w:hint="eastAsia" w:ascii="仿宋_GB2312" w:hAnsi="宋体" w:eastAsia="仿宋_GB2312" w:cs="宋体"/>
                <w:color w:val="auto"/>
                <w:kern w:val="0"/>
                <w:sz w:val="20"/>
                <w:szCs w:val="20"/>
              </w:rPr>
              <w:t>万亩，林下养殖达到</w:t>
            </w:r>
            <w:r>
              <w:rPr>
                <w:rFonts w:eastAsia="仿宋_GB2312"/>
                <w:color w:val="auto"/>
                <w:kern w:val="0"/>
                <w:sz w:val="20"/>
                <w:szCs w:val="20"/>
              </w:rPr>
              <w:t>1500</w:t>
            </w:r>
            <w:r>
              <w:rPr>
                <w:rFonts w:hint="eastAsia" w:ascii="仿宋_GB2312" w:hAnsi="宋体" w:eastAsia="仿宋_GB2312" w:cs="宋体"/>
                <w:color w:val="auto"/>
                <w:kern w:val="0"/>
                <w:sz w:val="20"/>
                <w:szCs w:val="20"/>
              </w:rPr>
              <w:t>万头（只）；建设林下种植、养殖、山野菜基地</w:t>
            </w:r>
            <w:r>
              <w:rPr>
                <w:rFonts w:eastAsia="仿宋_GB2312"/>
                <w:color w:val="auto"/>
                <w:kern w:val="0"/>
                <w:sz w:val="20"/>
                <w:szCs w:val="20"/>
              </w:rPr>
              <w:t>100</w:t>
            </w:r>
            <w:r>
              <w:rPr>
                <w:rFonts w:hint="eastAsia" w:ascii="仿宋_GB2312" w:hAnsi="宋体" w:eastAsia="仿宋_GB2312" w:cs="宋体"/>
                <w:color w:val="auto"/>
                <w:kern w:val="0"/>
                <w:sz w:val="20"/>
                <w:szCs w:val="20"/>
              </w:rPr>
              <w:t>个，林下经济示范园区</w:t>
            </w:r>
            <w:r>
              <w:rPr>
                <w:rFonts w:eastAsia="仿宋_GB2312"/>
                <w:color w:val="auto"/>
                <w:kern w:val="0"/>
                <w:sz w:val="20"/>
                <w:szCs w:val="20"/>
              </w:rPr>
              <w:t>50</w:t>
            </w:r>
            <w:r>
              <w:rPr>
                <w:rFonts w:hint="eastAsia" w:ascii="仿宋_GB2312" w:hAnsi="宋体" w:eastAsia="仿宋_GB2312" w:cs="宋体"/>
                <w:color w:val="auto"/>
                <w:kern w:val="0"/>
                <w:sz w:val="20"/>
                <w:szCs w:val="20"/>
              </w:rPr>
              <w:t>个</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48</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安康矿产资源综合利用工程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新建球磨厂房、原料和成品库房、办公及宿舍等用房，购</w:t>
            </w:r>
            <w:r>
              <w:rPr>
                <w:rFonts w:hint="eastAsia" w:ascii="宋体" w:hAnsi="宋体" w:eastAsia="宋体" w:cs="宋体"/>
                <w:color w:val="auto"/>
                <w:kern w:val="0"/>
                <w:sz w:val="20"/>
                <w:szCs w:val="20"/>
              </w:rPr>
              <w:t>臵</w:t>
            </w:r>
            <w:r>
              <w:rPr>
                <w:rFonts w:hint="eastAsia" w:ascii="仿宋_GB2312" w:hAnsi="仿宋_GB2312" w:eastAsia="仿宋_GB2312" w:cs="仿宋_GB2312"/>
                <w:color w:val="auto"/>
                <w:kern w:val="0"/>
                <w:sz w:val="20"/>
                <w:szCs w:val="20"/>
              </w:rPr>
              <w:t>球磨机、破碎机、耐纳特尾矿脱水机等生产设备，配套供排水工程、供电、供热工程</w:t>
            </w:r>
          </w:p>
        </w:tc>
        <w:tc>
          <w:tcPr>
            <w:tcW w:w="971" w:type="dxa"/>
            <w:tcBorders>
              <w:top w:val="nil"/>
              <w:left w:val="nil"/>
              <w:bottom w:val="single" w:color="auto" w:sz="4" w:space="0"/>
              <w:right w:val="single" w:color="auto" w:sz="4" w:space="0"/>
            </w:tcBorders>
            <w:noWrap w:val="0"/>
            <w:vAlign w:val="center"/>
          </w:tcPr>
          <w:p>
            <w:pPr>
              <w:widowControl/>
              <w:spacing w:line="300" w:lineRule="exact"/>
              <w:ind w:firstLine="0" w:firstLineChars="0"/>
              <w:jc w:val="center"/>
              <w:rPr>
                <w:rFonts w:ascii="仿宋_GB2312" w:hAnsi="宋体" w:eastAsia="仿宋_GB2312" w:cs="宋体"/>
                <w:color w:val="auto"/>
                <w:spacing w:val="-8"/>
                <w:kern w:val="0"/>
                <w:sz w:val="20"/>
                <w:szCs w:val="20"/>
              </w:rPr>
            </w:pPr>
            <w:r>
              <w:rPr>
                <w:rFonts w:hint="eastAsia" w:ascii="仿宋_GB2312" w:hAnsi="宋体" w:eastAsia="仿宋_GB2312" w:cs="宋体"/>
                <w:color w:val="auto"/>
                <w:spacing w:val="-8"/>
                <w:kern w:val="0"/>
                <w:sz w:val="20"/>
                <w:szCs w:val="20"/>
              </w:rPr>
              <w:t>安康市</w:t>
            </w:r>
            <w:r>
              <w:rPr>
                <w:rFonts w:hint="eastAsia" w:ascii="仿宋_GB2312" w:hAnsi="宋体" w:eastAsia="仿宋_GB2312" w:cs="宋体"/>
                <w:color w:val="auto"/>
                <w:spacing w:val="-8"/>
                <w:kern w:val="0"/>
                <w:sz w:val="20"/>
                <w:szCs w:val="20"/>
              </w:rPr>
              <w:br w:type="textWrapping"/>
            </w:r>
            <w:r>
              <w:rPr>
                <w:rFonts w:hint="eastAsia" w:ascii="仿宋_GB2312" w:hAnsi="宋体" w:eastAsia="仿宋_GB2312" w:cs="宋体"/>
                <w:color w:val="auto"/>
                <w:spacing w:val="-8"/>
                <w:kern w:val="0"/>
                <w:sz w:val="20"/>
                <w:szCs w:val="20"/>
              </w:rPr>
              <w:t>相关县区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49</w:t>
            </w:r>
          </w:p>
        </w:tc>
        <w:tc>
          <w:tcPr>
            <w:tcW w:w="36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商南废弃资源综合利用示范基地</w:t>
            </w:r>
          </w:p>
        </w:tc>
        <w:tc>
          <w:tcPr>
            <w:tcW w:w="71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以天和泥浆公司为龙头，带动发展一批废旧塑料、废渣、废液、余热等纵使利用企业，创建国家级废弃资源综合利用示范基地</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商南县</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r>
              <w:rPr>
                <w:rFonts w:hint="eastAsia" w:eastAsia="宋体"/>
                <w:color w:val="auto"/>
                <w:kern w:val="0"/>
                <w:sz w:val="20"/>
                <w:szCs w:val="20"/>
              </w:rPr>
              <w:t>0</w:t>
            </w:r>
          </w:p>
        </w:tc>
        <w:tc>
          <w:tcPr>
            <w:tcW w:w="3610"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城固</w:t>
            </w:r>
            <w:r>
              <w:rPr>
                <w:rFonts w:hint="eastAsia" w:ascii="宋体" w:hAnsi="宋体" w:eastAsia="宋体" w:cs="宋体"/>
                <w:color w:val="auto"/>
                <w:kern w:val="0"/>
                <w:sz w:val="20"/>
                <w:szCs w:val="20"/>
              </w:rPr>
              <w:t>湑</w:t>
            </w:r>
            <w:r>
              <w:rPr>
                <w:rFonts w:hint="eastAsia" w:ascii="仿宋_GB2312" w:hAnsi="仿宋_GB2312" w:eastAsia="仿宋_GB2312" w:cs="仿宋_GB2312"/>
                <w:color w:val="auto"/>
                <w:kern w:val="0"/>
                <w:sz w:val="20"/>
                <w:szCs w:val="20"/>
              </w:rPr>
              <w:t>水河源头水源综合整治工程</w:t>
            </w:r>
          </w:p>
        </w:tc>
        <w:tc>
          <w:tcPr>
            <w:tcW w:w="7167"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加大</w:t>
            </w:r>
            <w:r>
              <w:rPr>
                <w:rFonts w:hint="eastAsia" w:ascii="宋体" w:hAnsi="宋体" w:eastAsia="宋体" w:cs="宋体"/>
                <w:color w:val="auto"/>
                <w:kern w:val="0"/>
                <w:sz w:val="20"/>
                <w:szCs w:val="20"/>
              </w:rPr>
              <w:t>湑</w:t>
            </w:r>
            <w:r>
              <w:rPr>
                <w:rFonts w:hint="eastAsia" w:ascii="仿宋_GB2312" w:hAnsi="仿宋_GB2312" w:eastAsia="仿宋_GB2312" w:cs="仿宋_GB2312"/>
                <w:color w:val="auto"/>
                <w:kern w:val="0"/>
                <w:sz w:val="20"/>
                <w:szCs w:val="20"/>
              </w:rPr>
              <w:t>水河水源地水质保护，引蓄</w:t>
            </w:r>
            <w:r>
              <w:rPr>
                <w:rFonts w:hint="eastAsia" w:ascii="宋体" w:hAnsi="宋体" w:eastAsia="宋体" w:cs="宋体"/>
                <w:color w:val="auto"/>
                <w:kern w:val="0"/>
                <w:sz w:val="20"/>
                <w:szCs w:val="20"/>
              </w:rPr>
              <w:t>湑</w:t>
            </w:r>
            <w:r>
              <w:rPr>
                <w:rFonts w:hint="eastAsia" w:ascii="仿宋_GB2312" w:hAnsi="仿宋_GB2312" w:eastAsia="仿宋_GB2312" w:cs="仿宋_GB2312"/>
                <w:color w:val="auto"/>
                <w:kern w:val="0"/>
                <w:sz w:val="20"/>
                <w:szCs w:val="20"/>
              </w:rPr>
              <w:t>水河、倒浆沟水库水源，改造城区地表水系，建设城区街道广场水景观及汉江湿地公园</w:t>
            </w:r>
          </w:p>
        </w:tc>
        <w:tc>
          <w:tcPr>
            <w:tcW w:w="971"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城固县</w:t>
            </w:r>
          </w:p>
        </w:tc>
        <w:tc>
          <w:tcPr>
            <w:tcW w:w="1083"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2017-2020</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c>
          <w:tcPr>
            <w:tcW w:w="766"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r>
              <w:rPr>
                <w:rFonts w:hint="eastAsia" w:eastAsia="宋体"/>
                <w:color w:val="auto"/>
                <w:kern w:val="0"/>
                <w:sz w:val="20"/>
                <w:szCs w:val="20"/>
              </w:rPr>
              <w:t>1</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平利美丽乡村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建成平利八景（县城、长安镇、女娲山、天书峡、龙头村、芍药谷、古仙湖、琵琶岛），建成秦巴明珠国家乡村公园（特色精美风情小镇4个、美丽乡村100个、新型休闲社区30个、汽车自驾营地15个、配套节点体系20处）</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平利县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80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r>
              <w:rPr>
                <w:rFonts w:hint="eastAsia" w:eastAsia="宋体"/>
                <w:color w:val="auto"/>
                <w:kern w:val="0"/>
                <w:sz w:val="20"/>
                <w:szCs w:val="20"/>
              </w:rPr>
              <w:t>2</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商洛秦岭美丽乡村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创建以乡村旅游业为主导的</w:t>
            </w:r>
            <w:r>
              <w:rPr>
                <w:rFonts w:eastAsia="仿宋_GB2312"/>
                <w:color w:val="auto"/>
                <w:kern w:val="0"/>
                <w:sz w:val="20"/>
                <w:szCs w:val="20"/>
              </w:rPr>
              <w:t>“</w:t>
            </w:r>
            <w:r>
              <w:rPr>
                <w:rFonts w:hint="eastAsia" w:ascii="仿宋_GB2312" w:hAnsi="宋体" w:eastAsia="仿宋_GB2312" w:cs="宋体"/>
                <w:color w:val="auto"/>
                <w:kern w:val="0"/>
                <w:sz w:val="20"/>
                <w:szCs w:val="20"/>
              </w:rPr>
              <w:t>全国美丽乡村</w:t>
            </w:r>
            <w:r>
              <w:rPr>
                <w:rFonts w:eastAsia="仿宋_GB2312"/>
                <w:color w:val="auto"/>
                <w:kern w:val="0"/>
                <w:sz w:val="20"/>
                <w:szCs w:val="20"/>
              </w:rPr>
              <w:t>”10</w:t>
            </w:r>
            <w:r>
              <w:rPr>
                <w:rFonts w:hint="eastAsia" w:ascii="仿宋_GB2312" w:hAnsi="宋体" w:eastAsia="仿宋_GB2312" w:cs="宋体"/>
                <w:color w:val="auto"/>
                <w:kern w:val="0"/>
                <w:sz w:val="20"/>
                <w:szCs w:val="20"/>
              </w:rPr>
              <w:t>个，建成</w:t>
            </w:r>
            <w:r>
              <w:rPr>
                <w:rFonts w:eastAsia="仿宋_GB2312"/>
                <w:color w:val="auto"/>
                <w:kern w:val="0"/>
                <w:sz w:val="20"/>
                <w:szCs w:val="20"/>
              </w:rPr>
              <w:t>“</w:t>
            </w:r>
            <w:r>
              <w:rPr>
                <w:rFonts w:hint="eastAsia" w:ascii="仿宋_GB2312" w:hAnsi="宋体" w:eastAsia="仿宋_GB2312" w:cs="宋体"/>
                <w:color w:val="auto"/>
                <w:kern w:val="0"/>
                <w:sz w:val="20"/>
                <w:szCs w:val="20"/>
              </w:rPr>
              <w:t>秦岭美丽乡村</w:t>
            </w:r>
            <w:r>
              <w:rPr>
                <w:rFonts w:eastAsia="仿宋_GB2312"/>
                <w:color w:val="auto"/>
                <w:kern w:val="0"/>
                <w:sz w:val="20"/>
                <w:szCs w:val="20"/>
              </w:rPr>
              <w:t>”100</w:t>
            </w:r>
            <w:r>
              <w:rPr>
                <w:rFonts w:hint="eastAsia" w:ascii="仿宋_GB2312" w:hAnsi="宋体" w:eastAsia="仿宋_GB2312" w:cs="宋体"/>
                <w:color w:val="auto"/>
                <w:kern w:val="0"/>
                <w:sz w:val="20"/>
                <w:szCs w:val="20"/>
              </w:rPr>
              <w:t>个，其余村全部建成</w:t>
            </w:r>
            <w:r>
              <w:rPr>
                <w:rFonts w:eastAsia="仿宋_GB2312"/>
                <w:color w:val="auto"/>
                <w:kern w:val="0"/>
                <w:sz w:val="20"/>
                <w:szCs w:val="20"/>
              </w:rPr>
              <w:t>“</w:t>
            </w:r>
            <w:r>
              <w:rPr>
                <w:rFonts w:hint="eastAsia" w:ascii="仿宋_GB2312" w:hAnsi="宋体" w:eastAsia="仿宋_GB2312" w:cs="宋体"/>
                <w:color w:val="auto"/>
                <w:kern w:val="0"/>
                <w:sz w:val="20"/>
                <w:szCs w:val="20"/>
              </w:rPr>
              <w:t>特色美丽乡村</w:t>
            </w:r>
            <w:r>
              <w:rPr>
                <w:rFonts w:eastAsia="仿宋_GB2312"/>
                <w:color w:val="auto"/>
                <w:kern w:val="0"/>
                <w:sz w:val="20"/>
                <w:szCs w:val="20"/>
              </w:rPr>
              <w:t>”</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商洛市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2015-2020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150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25</w:t>
            </w:r>
            <w:r>
              <w:rPr>
                <w:rFonts w:hint="eastAsia" w:eastAsia="宋体"/>
                <w:color w:val="auto"/>
                <w:kern w:val="0"/>
                <w:sz w:val="20"/>
                <w:szCs w:val="20"/>
              </w:rPr>
              <w:t>3</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汉中城市生活垃圾焚烧发电工程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日处理垃圾</w:t>
            </w:r>
            <w:r>
              <w:rPr>
                <w:rFonts w:eastAsia="仿宋_GB2312"/>
                <w:color w:val="auto"/>
                <w:kern w:val="0"/>
                <w:sz w:val="20"/>
                <w:szCs w:val="20"/>
              </w:rPr>
              <w:t>1000</w:t>
            </w:r>
            <w:r>
              <w:rPr>
                <w:rFonts w:hint="eastAsia" w:ascii="仿宋_GB2312" w:hAnsi="宋体" w:eastAsia="仿宋_GB2312" w:cs="宋体"/>
                <w:color w:val="auto"/>
                <w:kern w:val="0"/>
                <w:sz w:val="20"/>
                <w:szCs w:val="20"/>
              </w:rPr>
              <w:t>吨，一期</w:t>
            </w:r>
            <w:r>
              <w:rPr>
                <w:rFonts w:eastAsia="仿宋_GB2312"/>
                <w:color w:val="auto"/>
                <w:kern w:val="0"/>
                <w:sz w:val="20"/>
                <w:szCs w:val="20"/>
              </w:rPr>
              <w:t>500</w:t>
            </w:r>
            <w:r>
              <w:rPr>
                <w:rFonts w:hint="eastAsia" w:ascii="仿宋_GB2312" w:hAnsi="宋体" w:eastAsia="仿宋_GB2312" w:cs="宋体"/>
                <w:color w:val="auto"/>
                <w:kern w:val="0"/>
                <w:sz w:val="20"/>
                <w:szCs w:val="20"/>
              </w:rPr>
              <w:t>吨，二期</w:t>
            </w:r>
            <w:r>
              <w:rPr>
                <w:rFonts w:eastAsia="仿宋_GB2312"/>
                <w:color w:val="auto"/>
                <w:kern w:val="0"/>
                <w:sz w:val="20"/>
                <w:szCs w:val="20"/>
              </w:rPr>
              <w:t>500</w:t>
            </w:r>
            <w:r>
              <w:rPr>
                <w:rFonts w:hint="eastAsia" w:ascii="仿宋_GB2312" w:hAnsi="宋体" w:eastAsia="仿宋_GB2312" w:cs="宋体"/>
                <w:color w:val="auto"/>
                <w:kern w:val="0"/>
                <w:sz w:val="20"/>
                <w:szCs w:val="20"/>
              </w:rPr>
              <w:t>吨</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汉中市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汉台区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5</w:t>
            </w:r>
            <w:r>
              <w:rPr>
                <w:rFonts w:hint="eastAsia" w:eastAsia="宋体"/>
                <w:color w:val="auto"/>
                <w:kern w:val="0"/>
                <w:sz w:val="20"/>
                <w:szCs w:val="20"/>
                <w:lang w:val="en-US" w:eastAsia="zh-CN"/>
              </w:rPr>
              <w:t>4</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安康市重点流域生态修复工程</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实施重点流域生态修复与治理，完善沿江绿化，做好水源地保护</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各县区</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5</w:t>
            </w:r>
            <w:r>
              <w:rPr>
                <w:rFonts w:hint="eastAsia" w:eastAsia="宋体"/>
                <w:color w:val="auto"/>
                <w:kern w:val="0"/>
                <w:sz w:val="20"/>
                <w:szCs w:val="20"/>
                <w:lang w:val="en-US" w:eastAsia="zh-CN"/>
              </w:rPr>
              <w:t>5</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白河清洁能源开发及利用</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新建风能、太阳能、水能发电等新型清洁能源开发及配套设施建设</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白河县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2016-2020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57"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w:t>
            </w:r>
            <w:r>
              <w:rPr>
                <w:rFonts w:hint="eastAsia" w:eastAsia="宋体"/>
                <w:color w:val="auto"/>
                <w:kern w:val="0"/>
                <w:sz w:val="20"/>
                <w:szCs w:val="20"/>
              </w:rPr>
              <w:t>5</w:t>
            </w:r>
            <w:r>
              <w:rPr>
                <w:rFonts w:hint="eastAsia" w:eastAsia="宋体"/>
                <w:color w:val="auto"/>
                <w:kern w:val="0"/>
                <w:sz w:val="20"/>
                <w:szCs w:val="20"/>
                <w:lang w:val="en-US" w:eastAsia="zh-CN"/>
              </w:rPr>
              <w:t>6</w:t>
            </w:r>
          </w:p>
        </w:tc>
        <w:tc>
          <w:tcPr>
            <w:tcW w:w="3610"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汉江（白河段）深度开发</w:t>
            </w:r>
          </w:p>
        </w:tc>
        <w:tc>
          <w:tcPr>
            <w:tcW w:w="7167"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依托汉江白河电站建设，开发水上风景区建设旅游观光栈道、码头、标识工程等，同步建设汉江沿线干流冷水段、麻虎段、县城段二期防洪综合治理工程，实施湿地土地整理、陆生植被恢复等工程</w:t>
            </w:r>
          </w:p>
        </w:tc>
        <w:tc>
          <w:tcPr>
            <w:tcW w:w="971"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安康市</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白河县</w:t>
            </w:r>
          </w:p>
        </w:tc>
        <w:tc>
          <w:tcPr>
            <w:tcW w:w="1083"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2018-2019</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c>
          <w:tcPr>
            <w:tcW w:w="766" w:type="dxa"/>
            <w:tcBorders>
              <w:top w:val="nil"/>
              <w:left w:val="nil"/>
              <w:bottom w:val="single" w:color="auto" w:sz="4" w:space="0"/>
              <w:right w:val="single" w:color="auto" w:sz="4" w:space="0"/>
            </w:tcBorders>
            <w:noWrap w:val="0"/>
            <w:vAlign w:val="center"/>
          </w:tcPr>
          <w:p>
            <w:pPr>
              <w:widowControl/>
              <w:spacing w:line="240" w:lineRule="auto"/>
              <w:ind w:firstLine="0" w:firstLineChars="0"/>
              <w:jc w:val="center"/>
              <w:rPr>
                <w:rFonts w:eastAsia="宋体"/>
                <w:color w:val="auto"/>
                <w:kern w:val="0"/>
                <w:sz w:val="20"/>
                <w:szCs w:val="20"/>
              </w:rPr>
            </w:pPr>
            <w:r>
              <w:rPr>
                <w:rFonts w:eastAsia="宋体"/>
                <w:color w:val="auto"/>
                <w:kern w:val="0"/>
                <w:sz w:val="20"/>
                <w:szCs w:val="20"/>
              </w:rPr>
              <w:t>20</w:t>
            </w:r>
          </w:p>
        </w:tc>
      </w:tr>
    </w:tbl>
    <w:p>
      <w:pPr>
        <w:ind w:firstLine="0" w:firstLineChars="0"/>
        <w:rPr>
          <w:rFonts w:hint="eastAsia" w:ascii="方正大标宋简体" w:eastAsia="方正大标宋简体"/>
          <w:color w:val="auto"/>
          <w:sz w:val="36"/>
          <w:szCs w:val="36"/>
        </w:rPr>
      </w:pPr>
    </w:p>
    <w:sectPr>
      <w:headerReference r:id="rId17" w:type="default"/>
      <w:footerReference r:id="rId18" w:type="default"/>
      <w:pgSz w:w="16838" w:h="11906" w:orient="landscape"/>
      <w:pgMar w:top="1077" w:right="1418" w:bottom="851" w:left="1418" w:header="1021" w:footer="1021"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ΟGB2312">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80"/>
      <w:jc w:val="center"/>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I</w:t>
    </w:r>
    <w:r>
      <w:rPr>
        <w:rFonts w:hint="eastAsia"/>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80"/>
      <w:jc w:val="center"/>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II</w:t>
    </w:r>
    <w:r>
      <w:rPr>
        <w:rFonts w:hint="eastAsia"/>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jc w:val="center"/>
      <w:rPr>
        <w:rStyle w:val="31"/>
        <w:sz w:val="24"/>
        <w:szCs w:val="24"/>
      </w:rPr>
    </w:pPr>
    <w:r>
      <w:rPr>
        <w:rStyle w:val="31"/>
        <w:sz w:val="24"/>
        <w:szCs w:val="24"/>
      </w:rPr>
      <w:t>－</w:t>
    </w: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26</w:t>
    </w:r>
    <w:r>
      <w:rPr>
        <w:sz w:val="24"/>
        <w:szCs w:val="24"/>
      </w:rPr>
      <w:fldChar w:fldCharType="end"/>
    </w:r>
    <w:r>
      <w:rPr>
        <w:rStyle w:val="31"/>
        <w:sz w:val="24"/>
        <w:szCs w:val="2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jc w:val="center"/>
      <w:rPr>
        <w:rFonts w:hint="eastAsia"/>
      </w:rPr>
    </w:pPr>
    <w:r>
      <w:rPr>
        <w:rStyle w:val="31"/>
        <w:sz w:val="24"/>
        <w:szCs w:val="24"/>
      </w:rPr>
      <w:t>－</w:t>
    </w: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61</w:t>
    </w:r>
    <w:r>
      <w:rPr>
        <w:sz w:val="24"/>
        <w:szCs w:val="24"/>
      </w:rPr>
      <w:fldChar w:fldCharType="end"/>
    </w:r>
    <w:r>
      <w:rPr>
        <w:rStyle w:val="31"/>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80"/>
      <w:jc w:val="center"/>
      <w:rPr>
        <w:rFonts w:hint="eastAsia"/>
      </w:rPr>
    </w:pPr>
    <w:r>
      <w:rPr>
        <w:rStyle w:val="31"/>
        <w:sz w:val="24"/>
        <w:szCs w:val="24"/>
      </w:rPr>
      <w:t>－</w:t>
    </w:r>
    <w:r>
      <w:rPr>
        <w:sz w:val="24"/>
        <w:szCs w:val="24"/>
      </w:rPr>
      <w:fldChar w:fldCharType="begin"/>
    </w:r>
    <w:r>
      <w:rPr>
        <w:rStyle w:val="31"/>
        <w:sz w:val="24"/>
        <w:szCs w:val="24"/>
      </w:rPr>
      <w:instrText xml:space="preserve">PAGE  </w:instrText>
    </w:r>
    <w:r>
      <w:rPr>
        <w:sz w:val="24"/>
        <w:szCs w:val="24"/>
      </w:rPr>
      <w:fldChar w:fldCharType="separate"/>
    </w:r>
    <w:r>
      <w:rPr>
        <w:rStyle w:val="31"/>
        <w:sz w:val="24"/>
        <w:szCs w:val="24"/>
      </w:rPr>
      <w:t>25</w:t>
    </w:r>
    <w:r>
      <w:rPr>
        <w:sz w:val="24"/>
        <w:szCs w:val="24"/>
      </w:rPr>
      <w:fldChar w:fldCharType="end"/>
    </w:r>
    <w:r>
      <w:rPr>
        <w:rStyle w:val="31"/>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0172A27"/>
    <w:rsid w:val="09EE72F9"/>
    <w:rsid w:val="69D41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link w:val="95"/>
    <w:uiPriority w:val="0"/>
    <w:pPr>
      <w:keepNext/>
      <w:keepLines/>
      <w:spacing w:line="360" w:lineRule="auto"/>
      <w:ind w:firstLine="0" w:firstLineChars="0"/>
      <w:outlineLvl w:val="0"/>
    </w:pPr>
    <w:rPr>
      <w:rFonts w:eastAsia="宋体"/>
      <w:bCs/>
      <w:kern w:val="44"/>
      <w:sz w:val="44"/>
      <w:szCs w:val="44"/>
      <w:lang w:val="en-US" w:eastAsia="zh-CN" w:bidi="ar-SA"/>
    </w:rPr>
  </w:style>
  <w:style w:type="paragraph" w:styleId="3">
    <w:name w:val="heading 2"/>
    <w:basedOn w:val="1"/>
    <w:next w:val="1"/>
    <w:link w:val="66"/>
    <w:qFormat/>
    <w:uiPriority w:val="0"/>
    <w:pPr>
      <w:keepNext/>
      <w:keepLines/>
      <w:spacing w:line="360" w:lineRule="auto"/>
      <w:ind w:firstLine="0" w:firstLineChars="0"/>
      <w:jc w:val="center"/>
      <w:outlineLvl w:val="1"/>
    </w:pPr>
    <w:rPr>
      <w:rFonts w:ascii="Arial" w:hAnsi="Arial" w:eastAsia="仿宋"/>
      <w:b/>
      <w:bCs/>
      <w:kern w:val="2"/>
      <w:sz w:val="32"/>
      <w:szCs w:val="32"/>
      <w:lang w:val="en-US" w:eastAsia="zh-CN" w:bidi="ar-SA"/>
    </w:rPr>
  </w:style>
  <w:style w:type="paragraph" w:styleId="4">
    <w:name w:val="heading 3"/>
    <w:basedOn w:val="1"/>
    <w:next w:val="1"/>
    <w:link w:val="61"/>
    <w:qFormat/>
    <w:uiPriority w:val="0"/>
    <w:pPr>
      <w:keepNext/>
      <w:keepLines/>
      <w:spacing w:before="260" w:beforeLines="0" w:after="260" w:afterLines="0" w:line="413" w:lineRule="auto"/>
      <w:outlineLvl w:val="2"/>
    </w:pPr>
    <w:rPr>
      <w:rFonts w:eastAsia="宋体"/>
      <w:b/>
      <w:bCs/>
      <w:kern w:val="2"/>
      <w:sz w:val="32"/>
      <w:szCs w:val="32"/>
      <w:lang w:val="en-US" w:eastAsia="zh-CN" w:bidi="ar-SA"/>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29">
    <w:name w:val="Default Paragraph Font"/>
    <w:qFormat/>
    <w:uiPriority w:val="0"/>
    <w:rPr>
      <w:rFonts w:eastAsia="宋体"/>
      <w:sz w:val="21"/>
    </w:rPr>
  </w:style>
  <w:style w:type="table" w:default="1" w:styleId="28">
    <w:name w:val="Normal Table"/>
    <w:semiHidden/>
    <w:qFormat/>
    <w:uiPriority w:val="0"/>
    <w:tblPr>
      <w:tblCellMar>
        <w:top w:w="0" w:type="dxa"/>
        <w:left w:w="108" w:type="dxa"/>
        <w:bottom w:w="0" w:type="dxa"/>
        <w:right w:w="108" w:type="dxa"/>
      </w:tblCellMar>
    </w:tblPr>
  </w:style>
  <w:style w:type="paragraph" w:styleId="6">
    <w:name w:val="toc 7"/>
    <w:basedOn w:val="1"/>
    <w:next w:val="1"/>
    <w:uiPriority w:val="0"/>
    <w:pPr>
      <w:ind w:left="1260"/>
      <w:jc w:val="left"/>
    </w:pPr>
    <w:rPr>
      <w:sz w:val="18"/>
      <w:szCs w:val="18"/>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style>
  <w:style w:type="paragraph" w:styleId="9">
    <w:name w:val="Body Text Indent"/>
    <w:basedOn w:val="1"/>
    <w:qFormat/>
    <w:uiPriority w:val="0"/>
    <w:pPr>
      <w:ind w:firstLine="420"/>
    </w:pPr>
    <w:rPr>
      <w:color w:val="008080"/>
    </w:rPr>
  </w:style>
  <w:style w:type="paragraph" w:styleId="10">
    <w:name w:val="toc 5"/>
    <w:basedOn w:val="1"/>
    <w:next w:val="1"/>
    <w:uiPriority w:val="0"/>
    <w:pPr>
      <w:ind w:left="840"/>
      <w:jc w:val="left"/>
    </w:pPr>
    <w:rPr>
      <w:sz w:val="18"/>
      <w:szCs w:val="18"/>
    </w:rPr>
  </w:style>
  <w:style w:type="paragraph" w:styleId="11">
    <w:name w:val="toc 3"/>
    <w:basedOn w:val="1"/>
    <w:next w:val="1"/>
    <w:qFormat/>
    <w:uiPriority w:val="0"/>
    <w:pPr>
      <w:ind w:left="420"/>
      <w:jc w:val="left"/>
    </w:pPr>
    <w:rPr>
      <w:iCs/>
      <w:sz w:val="20"/>
      <w:szCs w:val="20"/>
    </w:rPr>
  </w:style>
  <w:style w:type="paragraph" w:styleId="12">
    <w:name w:val="Plain Text"/>
    <w:basedOn w:val="1"/>
    <w:qFormat/>
    <w:uiPriority w:val="0"/>
    <w:rPr>
      <w:rFonts w:ascii="宋体" w:hAnsi="Courier New"/>
    </w:rPr>
  </w:style>
  <w:style w:type="paragraph" w:styleId="13">
    <w:name w:val="toc 8"/>
    <w:basedOn w:val="1"/>
    <w:next w:val="1"/>
    <w:uiPriority w:val="0"/>
    <w:pPr>
      <w:ind w:left="1470"/>
      <w:jc w:val="left"/>
    </w:pPr>
    <w:rPr>
      <w:sz w:val="18"/>
      <w:szCs w:val="18"/>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qFormat/>
    <w:uiPriority w:val="0"/>
    <w:rPr>
      <w:sz w:val="18"/>
      <w:szCs w:val="18"/>
    </w:rPr>
  </w:style>
  <w:style w:type="paragraph" w:styleId="17">
    <w:name w:val="footer"/>
    <w:basedOn w:val="1"/>
    <w:link w:val="48"/>
    <w:qFormat/>
    <w:uiPriority w:val="0"/>
    <w:pPr>
      <w:tabs>
        <w:tab w:val="center" w:pos="4153"/>
        <w:tab w:val="right" w:pos="8306"/>
      </w:tabs>
      <w:snapToGrid w:val="0"/>
      <w:jc w:val="left"/>
    </w:pPr>
    <w:rPr>
      <w:rFonts w:eastAsia="宋体"/>
      <w:kern w:val="2"/>
      <w:sz w:val="18"/>
      <w:szCs w:val="18"/>
      <w:lang w:val="en-US" w:eastAsia="zh-CN" w:bidi="ar-SA"/>
    </w:rPr>
  </w:style>
  <w:style w:type="paragraph" w:styleId="18">
    <w:name w:val="header"/>
    <w:basedOn w:val="1"/>
    <w:link w:val="90"/>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9">
    <w:name w:val="toc 1"/>
    <w:basedOn w:val="1"/>
    <w:next w:val="1"/>
    <w:qFormat/>
    <w:uiPriority w:val="0"/>
    <w:pPr>
      <w:tabs>
        <w:tab w:val="right" w:leader="dot" w:pos="8834"/>
      </w:tabs>
      <w:ind w:firstLine="0" w:firstLineChars="0"/>
      <w:jc w:val="left"/>
    </w:pPr>
    <w:rPr>
      <w:rFonts w:eastAsia="黑体"/>
      <w:bCs/>
      <w:caps/>
      <w:sz w:val="28"/>
      <w:szCs w:val="20"/>
    </w:rPr>
  </w:style>
  <w:style w:type="paragraph" w:styleId="20">
    <w:name w:val="toc 4"/>
    <w:basedOn w:val="1"/>
    <w:next w:val="1"/>
    <w:qFormat/>
    <w:uiPriority w:val="0"/>
    <w:pPr>
      <w:ind w:left="630"/>
      <w:jc w:val="left"/>
    </w:pPr>
    <w:rPr>
      <w:sz w:val="18"/>
      <w:szCs w:val="18"/>
    </w:rPr>
  </w:style>
  <w:style w:type="paragraph" w:styleId="21">
    <w:name w:val="toc 6"/>
    <w:basedOn w:val="1"/>
    <w:next w:val="1"/>
    <w:qFormat/>
    <w:uiPriority w:val="0"/>
    <w:pPr>
      <w:ind w:left="1050"/>
      <w:jc w:val="left"/>
    </w:pPr>
    <w:rPr>
      <w:sz w:val="18"/>
      <w:szCs w:val="18"/>
    </w:rPr>
  </w:style>
  <w:style w:type="paragraph" w:styleId="22">
    <w:name w:val="toc 2"/>
    <w:basedOn w:val="1"/>
    <w:next w:val="1"/>
    <w:qFormat/>
    <w:uiPriority w:val="0"/>
    <w:pPr>
      <w:tabs>
        <w:tab w:val="right" w:leader="dot" w:pos="8777"/>
      </w:tabs>
      <w:ind w:left="0" w:firstLine="1100" w:firstLineChars="250"/>
      <w:jc w:val="left"/>
    </w:pPr>
    <w:rPr>
      <w:rFonts w:ascii="仿宋_GB2312" w:hAnsi="仿宋_GB2312" w:eastAsia="宋体"/>
      <w:smallCaps/>
      <w:sz w:val="24"/>
      <w:szCs w:val="28"/>
    </w:rPr>
  </w:style>
  <w:style w:type="paragraph" w:styleId="23">
    <w:name w:val="toc 9"/>
    <w:basedOn w:val="1"/>
    <w:next w:val="1"/>
    <w:qFormat/>
    <w:uiPriority w:val="0"/>
    <w:pPr>
      <w:ind w:left="1680"/>
      <w:jc w:val="left"/>
    </w:pPr>
    <w:rPr>
      <w:sz w:val="18"/>
      <w:szCs w:val="18"/>
    </w:rPr>
  </w:style>
  <w:style w:type="paragraph" w:styleId="24">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仿宋" w:cs="Arial"/>
      <w:sz w:val="32"/>
      <w:szCs w:val="21"/>
    </w:rPr>
  </w:style>
  <w:style w:type="paragraph" w:styleId="25">
    <w:name w:val="Normal (Web)"/>
    <w:basedOn w:val="1"/>
    <w:qFormat/>
    <w:uiPriority w:val="0"/>
    <w:pPr>
      <w:widowControl/>
      <w:spacing w:after="100" w:afterLines="0" w:afterAutospacing="1" w:line="480" w:lineRule="auto"/>
      <w:jc w:val="left"/>
    </w:pPr>
    <w:rPr>
      <w:rFonts w:ascii="??" w:hAnsi="??" w:cs="宋体"/>
      <w:color w:val="682E00"/>
      <w:kern w:val="0"/>
      <w:szCs w:val="21"/>
    </w:rPr>
  </w:style>
  <w:style w:type="paragraph" w:styleId="26">
    <w:name w:val="Title"/>
    <w:basedOn w:val="1"/>
    <w:next w:val="1"/>
    <w:link w:val="91"/>
    <w:qFormat/>
    <w:uiPriority w:val="0"/>
    <w:pPr>
      <w:spacing w:before="240" w:beforeLines="0" w:after="60" w:afterLines="0"/>
      <w:jc w:val="center"/>
      <w:outlineLvl w:val="0"/>
    </w:pPr>
    <w:rPr>
      <w:rFonts w:ascii="Cambria" w:hAnsi="Cambria" w:cs="Times New Roman"/>
      <w:b/>
      <w:bCs/>
      <w:kern w:val="2"/>
      <w:sz w:val="32"/>
      <w:szCs w:val="32"/>
    </w:rPr>
  </w:style>
  <w:style w:type="paragraph" w:styleId="27">
    <w:name w:val="annotation subject"/>
    <w:basedOn w:val="8"/>
    <w:next w:val="8"/>
    <w:qFormat/>
    <w:uiPriority w:val="0"/>
    <w:rPr>
      <w:b/>
      <w:bCs/>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rFonts w:eastAsia="宋体"/>
      <w:color w:val="2B2B2B"/>
      <w:sz w:val="21"/>
      <w:u w:val="none"/>
    </w:rPr>
  </w:style>
  <w:style w:type="character" w:styleId="33">
    <w:name w:val="Emphasis"/>
    <w:qFormat/>
    <w:uiPriority w:val="0"/>
    <w:rPr>
      <w:color w:val="CC0000"/>
    </w:rPr>
  </w:style>
  <w:style w:type="character" w:styleId="34">
    <w:name w:val="HTML Definition"/>
    <w:qFormat/>
    <w:uiPriority w:val="0"/>
    <w:rPr>
      <w:rFonts w:eastAsia="宋体"/>
      <w:sz w:val="21"/>
    </w:rPr>
  </w:style>
  <w:style w:type="character" w:styleId="35">
    <w:name w:val="HTML Acronym"/>
    <w:basedOn w:val="29"/>
    <w:qFormat/>
    <w:uiPriority w:val="0"/>
  </w:style>
  <w:style w:type="character" w:styleId="36">
    <w:name w:val="HTML Variable"/>
    <w:qFormat/>
    <w:uiPriority w:val="0"/>
    <w:rPr>
      <w:rFonts w:eastAsia="宋体"/>
      <w:sz w:val="21"/>
    </w:rPr>
  </w:style>
  <w:style w:type="character" w:styleId="37">
    <w:name w:val="Hyperlink"/>
    <w:qFormat/>
    <w:uiPriority w:val="0"/>
    <w:rPr>
      <w:rFonts w:eastAsia="宋体"/>
      <w:color w:val="2B2B2B"/>
      <w:sz w:val="21"/>
      <w:u w:val="none"/>
    </w:rPr>
  </w:style>
  <w:style w:type="character" w:styleId="38">
    <w:name w:val="HTML Code"/>
    <w:qFormat/>
    <w:uiPriority w:val="0"/>
    <w:rPr>
      <w:rFonts w:ascii="Courier New" w:hAnsi="Courier New" w:eastAsia="宋体"/>
      <w:sz w:val="20"/>
    </w:rPr>
  </w:style>
  <w:style w:type="character" w:styleId="39">
    <w:name w:val="annotation reference"/>
    <w:qFormat/>
    <w:uiPriority w:val="0"/>
    <w:rPr>
      <w:sz w:val="21"/>
      <w:szCs w:val="21"/>
    </w:rPr>
  </w:style>
  <w:style w:type="character" w:styleId="40">
    <w:name w:val="HTML Cite"/>
    <w:qFormat/>
    <w:uiPriority w:val="0"/>
    <w:rPr>
      <w:rFonts w:eastAsia="宋体"/>
      <w:sz w:val="21"/>
    </w:rPr>
  </w:style>
  <w:style w:type="character" w:customStyle="1" w:styleId="41">
    <w:name w:val="disabled8"/>
    <w:qFormat/>
    <w:uiPriority w:val="0"/>
    <w:rPr>
      <w:rFonts w:eastAsia="宋体"/>
      <w:color w:val="DDDDDD"/>
      <w:sz w:val="21"/>
      <w:bdr w:val="single" w:color="EEEEEE" w:sz="6" w:space="0"/>
    </w:rPr>
  </w:style>
  <w:style w:type="character" w:customStyle="1" w:styleId="42">
    <w:name w:val="btn16"/>
    <w:basedOn w:val="29"/>
    <w:qFormat/>
    <w:uiPriority w:val="0"/>
  </w:style>
  <w:style w:type="character" w:customStyle="1" w:styleId="43">
    <w:name w:val="disabled9"/>
    <w:qFormat/>
    <w:uiPriority w:val="0"/>
    <w:rPr>
      <w:rFonts w:eastAsia="宋体"/>
      <w:color w:val="DDDDDD"/>
      <w:sz w:val="21"/>
      <w:bdr w:val="single" w:color="EEEEEE" w:sz="6" w:space="0"/>
    </w:rPr>
  </w:style>
  <w:style w:type="character" w:customStyle="1" w:styleId="44">
    <w:name w:val="表格1 Char"/>
    <w:link w:val="45"/>
    <w:qFormat/>
    <w:uiPriority w:val="0"/>
    <w:rPr>
      <w:rFonts w:ascii="宋体" w:hAnsi="宋体" w:eastAsia="宋体"/>
      <w:kern w:val="2"/>
      <w:sz w:val="18"/>
      <w:szCs w:val="21"/>
      <w:lang w:val="en-US" w:eastAsia="zh-CN" w:bidi="ar-SA"/>
    </w:rPr>
  </w:style>
  <w:style w:type="paragraph" w:customStyle="1" w:styleId="45">
    <w:name w:val="表格1"/>
    <w:basedOn w:val="1"/>
    <w:link w:val="44"/>
    <w:qFormat/>
    <w:uiPriority w:val="0"/>
    <w:pPr>
      <w:tabs>
        <w:tab w:val="left" w:pos="3105"/>
      </w:tabs>
      <w:spacing w:line="240" w:lineRule="exact"/>
      <w:jc w:val="center"/>
    </w:pPr>
    <w:rPr>
      <w:rFonts w:ascii="宋体" w:hAnsi="宋体" w:eastAsia="宋体"/>
      <w:kern w:val="2"/>
      <w:sz w:val="18"/>
      <w:szCs w:val="21"/>
      <w:lang w:val="en-US" w:eastAsia="zh-CN" w:bidi="ar-SA"/>
    </w:rPr>
  </w:style>
  <w:style w:type="character" w:customStyle="1" w:styleId="46">
    <w:name w:val="l11"/>
    <w:basedOn w:val="29"/>
    <w:uiPriority w:val="0"/>
  </w:style>
  <w:style w:type="character" w:customStyle="1" w:styleId="47">
    <w:name w:val="bds_more"/>
    <w:basedOn w:val="29"/>
    <w:uiPriority w:val="0"/>
  </w:style>
  <w:style w:type="character" w:customStyle="1" w:styleId="48">
    <w:name w:val="页脚 Char"/>
    <w:link w:val="17"/>
    <w:uiPriority w:val="0"/>
    <w:rPr>
      <w:rFonts w:eastAsia="宋体"/>
      <w:kern w:val="2"/>
      <w:sz w:val="18"/>
      <w:szCs w:val="18"/>
      <w:lang w:val="en-US" w:eastAsia="zh-CN" w:bidi="ar-SA"/>
    </w:rPr>
  </w:style>
  <w:style w:type="character" w:customStyle="1" w:styleId="49">
    <w:name w:val="bds_more4"/>
    <w:basedOn w:val="29"/>
    <w:uiPriority w:val="0"/>
  </w:style>
  <w:style w:type="character" w:customStyle="1" w:styleId="50">
    <w:name w:val="over"/>
    <w:basedOn w:val="29"/>
    <w:uiPriority w:val="0"/>
  </w:style>
  <w:style w:type="character" w:customStyle="1" w:styleId="51">
    <w:name w:val="r_submit"/>
    <w:uiPriority w:val="0"/>
    <w:rPr>
      <w:rFonts w:eastAsia="宋体"/>
      <w:vanish/>
      <w:sz w:val="21"/>
    </w:rPr>
  </w:style>
  <w:style w:type="character" w:customStyle="1" w:styleId="52">
    <w:name w:val="current"/>
    <w:uiPriority w:val="0"/>
    <w:rPr>
      <w:rFonts w:eastAsia="宋体"/>
      <w:b/>
      <w:color w:val="000000"/>
      <w:sz w:val="21"/>
      <w:bdr w:val="single" w:color="000099" w:sz="6" w:space="0"/>
    </w:rPr>
  </w:style>
  <w:style w:type="character" w:customStyle="1" w:styleId="53">
    <w:name w:val="out"/>
    <w:basedOn w:val="29"/>
    <w:uiPriority w:val="0"/>
  </w:style>
  <w:style w:type="character" w:customStyle="1" w:styleId="54">
    <w:name w:val="bds_more3"/>
    <w:basedOn w:val="29"/>
    <w:uiPriority w:val="0"/>
  </w:style>
  <w:style w:type="character" w:customStyle="1" w:styleId="55">
    <w:name w:val=" Char Char3"/>
    <w:uiPriority w:val="0"/>
    <w:rPr>
      <w:b/>
      <w:bCs/>
      <w:kern w:val="2"/>
      <w:sz w:val="32"/>
      <w:szCs w:val="32"/>
    </w:rPr>
  </w:style>
  <w:style w:type="character" w:customStyle="1" w:styleId="56">
    <w:name w:val="split"/>
    <w:basedOn w:val="29"/>
    <w:uiPriority w:val="0"/>
  </w:style>
  <w:style w:type="character" w:customStyle="1" w:styleId="57">
    <w:name w:val="uprightgray"/>
    <w:basedOn w:val="29"/>
    <w:uiPriority w:val="0"/>
  </w:style>
  <w:style w:type="character" w:customStyle="1" w:styleId="58">
    <w:name w:val="l23"/>
    <w:basedOn w:val="29"/>
    <w:uiPriority w:val="0"/>
  </w:style>
  <w:style w:type="character" w:customStyle="1" w:styleId="59">
    <w:name w:val="bg"/>
    <w:basedOn w:val="29"/>
    <w:uiPriority w:val="0"/>
  </w:style>
  <w:style w:type="character" w:customStyle="1" w:styleId="60">
    <w:name w:val="btn19"/>
    <w:basedOn w:val="29"/>
    <w:qFormat/>
    <w:uiPriority w:val="0"/>
  </w:style>
  <w:style w:type="character" w:customStyle="1" w:styleId="61">
    <w:name w:val="标题 3 Char"/>
    <w:link w:val="4"/>
    <w:uiPriority w:val="0"/>
    <w:rPr>
      <w:rFonts w:eastAsia="宋体"/>
      <w:b/>
      <w:bCs/>
      <w:kern w:val="2"/>
      <w:sz w:val="32"/>
      <w:szCs w:val="32"/>
      <w:lang w:val="en-US" w:eastAsia="zh-CN" w:bidi="ar-SA"/>
    </w:rPr>
  </w:style>
  <w:style w:type="character" w:customStyle="1" w:styleId="62">
    <w:name w:val="bds_more1"/>
    <w:qFormat/>
    <w:uiPriority w:val="0"/>
    <w:rPr>
      <w:rFonts w:hint="eastAsia" w:ascii="宋体" w:hAnsi="宋体" w:eastAsia="宋体" w:cs="宋体"/>
      <w:sz w:val="21"/>
    </w:rPr>
  </w:style>
  <w:style w:type="character" w:customStyle="1" w:styleId="63">
    <w:name w:val="bds_nopic1"/>
    <w:basedOn w:val="29"/>
    <w:uiPriority w:val="0"/>
  </w:style>
  <w:style w:type="character" w:customStyle="1" w:styleId="64">
    <w:name w:val="content1"/>
    <w:uiPriority w:val="0"/>
    <w:rPr>
      <w:rFonts w:hint="eastAsia" w:ascii="ΟGB2312" w:eastAsia="ΟGB2312"/>
      <w:color w:val="000000"/>
      <w:sz w:val="19"/>
      <w:szCs w:val="19"/>
    </w:rPr>
  </w:style>
  <w:style w:type="character" w:customStyle="1" w:styleId="65">
    <w:name w:val="more"/>
    <w:uiPriority w:val="0"/>
    <w:rPr>
      <w:rFonts w:eastAsia="宋体"/>
      <w:sz w:val="18"/>
      <w:szCs w:val="18"/>
    </w:rPr>
  </w:style>
  <w:style w:type="character" w:customStyle="1" w:styleId="66">
    <w:name w:val="标题 2 Char1"/>
    <w:link w:val="3"/>
    <w:uiPriority w:val="0"/>
    <w:rPr>
      <w:rFonts w:ascii="Arial" w:hAnsi="Arial" w:eastAsia="仿宋"/>
      <w:b/>
      <w:bCs/>
      <w:kern w:val="2"/>
      <w:sz w:val="32"/>
      <w:szCs w:val="32"/>
      <w:lang w:val="en-US" w:eastAsia="zh-CN" w:bidi="ar-SA"/>
    </w:rPr>
  </w:style>
  <w:style w:type="character" w:customStyle="1" w:styleId="67">
    <w:name w:val="btn17"/>
    <w:qFormat/>
    <w:uiPriority w:val="0"/>
    <w:rPr>
      <w:rFonts w:eastAsia="宋体"/>
      <w:sz w:val="21"/>
      <w:bdr w:val="single" w:color="A5A5A5" w:sz="6" w:space="0"/>
    </w:rPr>
  </w:style>
  <w:style w:type="character" w:customStyle="1" w:styleId="68">
    <w:name w:val="fg"/>
    <w:uiPriority w:val="0"/>
    <w:rPr>
      <w:rFonts w:eastAsia="宋体"/>
      <w:color w:val="00349A"/>
      <w:sz w:val="21"/>
    </w:rPr>
  </w:style>
  <w:style w:type="character" w:customStyle="1" w:styleId="69">
    <w:name w:val="r"/>
    <w:basedOn w:val="29"/>
    <w:uiPriority w:val="0"/>
  </w:style>
  <w:style w:type="character" w:customStyle="1" w:styleId="70">
    <w:name w:val="bds_nopic2"/>
    <w:basedOn w:val="29"/>
    <w:uiPriority w:val="0"/>
  </w:style>
  <w:style w:type="character" w:customStyle="1" w:styleId="71">
    <w:name w:val="样式 样式 (西文) Times New Roman (中文) 仿宋_GB2312 + 楷体_GB2312"/>
    <w:uiPriority w:val="0"/>
    <w:rPr>
      <w:rFonts w:ascii="楷体_GB2312" w:hAnsi="楷体_GB2312" w:eastAsia="仿宋_GB2312"/>
      <w:sz w:val="30"/>
    </w:rPr>
  </w:style>
  <w:style w:type="character" w:customStyle="1" w:styleId="72">
    <w:name w:val="标题 2 Char"/>
    <w:uiPriority w:val="0"/>
    <w:rPr>
      <w:rFonts w:ascii="Arial" w:hAnsi="Arial" w:eastAsia="黑体"/>
      <w:b/>
      <w:bCs/>
      <w:kern w:val="2"/>
      <w:sz w:val="32"/>
      <w:szCs w:val="32"/>
      <w:lang w:val="en-US" w:eastAsia="zh-CN" w:bidi="ar-SA"/>
    </w:rPr>
  </w:style>
  <w:style w:type="character" w:customStyle="1" w:styleId="73">
    <w:name w:val=" Char Char8"/>
    <w:qFormat/>
    <w:uiPriority w:val="0"/>
    <w:rPr>
      <w:rFonts w:eastAsia="宋体"/>
      <w:b/>
      <w:bCs/>
      <w:kern w:val="44"/>
      <w:sz w:val="44"/>
      <w:szCs w:val="44"/>
      <w:lang w:val="en-US" w:eastAsia="zh-CN" w:bidi="ar-SA"/>
    </w:rPr>
  </w:style>
  <w:style w:type="character" w:customStyle="1" w:styleId="74">
    <w:name w:val=" Char Char6"/>
    <w:uiPriority w:val="0"/>
    <w:rPr>
      <w:rFonts w:ascii="Arial" w:hAnsi="Arial" w:eastAsia="黑体" w:cs="Times New Roman"/>
      <w:b/>
      <w:bCs/>
      <w:sz w:val="32"/>
      <w:szCs w:val="32"/>
    </w:rPr>
  </w:style>
  <w:style w:type="character" w:customStyle="1" w:styleId="75">
    <w:name w:val="l1"/>
    <w:uiPriority w:val="0"/>
    <w:rPr>
      <w:rFonts w:eastAsia="宋体"/>
      <w:sz w:val="21"/>
      <w:bdr w:val="single" w:color="545454" w:sz="6" w:space="0"/>
    </w:rPr>
  </w:style>
  <w:style w:type="character" w:customStyle="1" w:styleId="76">
    <w:name w:val="l"/>
    <w:uiPriority w:val="0"/>
    <w:rPr>
      <w:rFonts w:eastAsia="宋体"/>
      <w:sz w:val="21"/>
      <w:bdr w:val="single" w:color="545454" w:sz="6" w:space="0"/>
    </w:rPr>
  </w:style>
  <w:style w:type="character" w:customStyle="1" w:styleId="77">
    <w:name w:val="btn18"/>
    <w:basedOn w:val="29"/>
    <w:uiPriority w:val="0"/>
  </w:style>
  <w:style w:type="character" w:customStyle="1" w:styleId="78">
    <w:name w:val="more1"/>
    <w:uiPriority w:val="0"/>
    <w:rPr>
      <w:rFonts w:eastAsia="宋体"/>
      <w:sz w:val="18"/>
      <w:szCs w:val="18"/>
    </w:rPr>
  </w:style>
  <w:style w:type="character" w:customStyle="1" w:styleId="79">
    <w:name w:val="HTML 预设格式 Char"/>
    <w:link w:val="24"/>
    <w:uiPriority w:val="0"/>
    <w:rPr>
      <w:rFonts w:ascii="Arial" w:hAnsi="Arial" w:eastAsia="仿宋" w:cs="Arial"/>
      <w:sz w:val="32"/>
      <w:szCs w:val="21"/>
    </w:rPr>
  </w:style>
  <w:style w:type="character" w:customStyle="1" w:styleId="80">
    <w:name w:val="l2"/>
    <w:basedOn w:val="29"/>
    <w:uiPriority w:val="0"/>
  </w:style>
  <w:style w:type="character" w:customStyle="1" w:styleId="81">
    <w:name w:val="more2"/>
    <w:uiPriority w:val="0"/>
    <w:rPr>
      <w:rFonts w:eastAsia="宋体"/>
      <w:sz w:val="18"/>
      <w:szCs w:val="18"/>
    </w:rPr>
  </w:style>
  <w:style w:type="character" w:customStyle="1" w:styleId="82">
    <w:name w:val="at"/>
    <w:uiPriority w:val="0"/>
    <w:rPr>
      <w:rFonts w:eastAsia="宋体"/>
      <w:b/>
      <w:sz w:val="21"/>
      <w:shd w:val="clear" w:color="auto" w:fill="FFFFFF"/>
    </w:rPr>
  </w:style>
  <w:style w:type="character" w:customStyle="1" w:styleId="83">
    <w:name w:val="at1"/>
    <w:uiPriority w:val="0"/>
    <w:rPr>
      <w:rFonts w:eastAsia="宋体"/>
      <w:b/>
      <w:sz w:val="21"/>
      <w:shd w:val="clear" w:color="auto" w:fill="FFFFFF"/>
    </w:rPr>
  </w:style>
  <w:style w:type="character" w:customStyle="1" w:styleId="84">
    <w:name w:val="bds_nopic"/>
    <w:basedOn w:val="29"/>
    <w:uiPriority w:val="0"/>
  </w:style>
  <w:style w:type="character" w:customStyle="1" w:styleId="85">
    <w:name w:val=" Char Char4"/>
    <w:uiPriority w:val="0"/>
    <w:rPr>
      <w:rFonts w:ascii="Arial" w:hAnsi="Arial" w:eastAsia="黑体"/>
      <w:b/>
      <w:bCs/>
      <w:kern w:val="2"/>
      <w:sz w:val="32"/>
      <w:szCs w:val="32"/>
      <w:lang w:val="en-US" w:eastAsia="zh-CN" w:bidi="ar-SA"/>
    </w:rPr>
  </w:style>
  <w:style w:type="character" w:customStyle="1" w:styleId="86">
    <w:name w:val="bds_more2"/>
    <w:uiPriority w:val="0"/>
    <w:rPr>
      <w:rFonts w:hint="eastAsia" w:ascii="宋体" w:hAnsi="宋体" w:eastAsia="宋体" w:cs="宋体"/>
      <w:sz w:val="21"/>
    </w:rPr>
  </w:style>
  <w:style w:type="character" w:customStyle="1" w:styleId="87">
    <w:name w:val="over1"/>
    <w:qFormat/>
    <w:uiPriority w:val="0"/>
    <w:rPr>
      <w:rFonts w:eastAsia="宋体"/>
      <w:color w:val="FFFFCC"/>
      <w:sz w:val="21"/>
    </w:rPr>
  </w:style>
  <w:style w:type="character" w:customStyle="1" w:styleId="88">
    <w:name w:val="disabled"/>
    <w:qFormat/>
    <w:uiPriority w:val="0"/>
    <w:rPr>
      <w:rFonts w:eastAsia="宋体"/>
      <w:color w:val="999999"/>
      <w:sz w:val="21"/>
      <w:bdr w:val="single" w:color="C5C5C5" w:sz="6" w:space="0"/>
    </w:rPr>
  </w:style>
  <w:style w:type="character" w:customStyle="1" w:styleId="89">
    <w:name w:val="stockbanner_inner2"/>
    <w:uiPriority w:val="0"/>
    <w:rPr>
      <w:rFonts w:eastAsia="宋体"/>
      <w:sz w:val="21"/>
      <w:bdr w:val="single" w:color="FFFFFF" w:sz="6" w:space="0"/>
    </w:rPr>
  </w:style>
  <w:style w:type="character" w:customStyle="1" w:styleId="90">
    <w:name w:val="页眉 Char"/>
    <w:link w:val="18"/>
    <w:qFormat/>
    <w:uiPriority w:val="0"/>
    <w:rPr>
      <w:rFonts w:eastAsia="宋体"/>
      <w:kern w:val="2"/>
      <w:sz w:val="18"/>
      <w:szCs w:val="18"/>
      <w:lang w:val="en-US" w:eastAsia="zh-CN" w:bidi="ar-SA"/>
    </w:rPr>
  </w:style>
  <w:style w:type="character" w:customStyle="1" w:styleId="91">
    <w:name w:val="标题 Char"/>
    <w:link w:val="26"/>
    <w:uiPriority w:val="0"/>
    <w:rPr>
      <w:rFonts w:ascii="Cambria" w:hAnsi="Cambria" w:cs="Times New Roman"/>
      <w:b/>
      <w:bCs/>
      <w:kern w:val="2"/>
      <w:sz w:val="32"/>
      <w:szCs w:val="32"/>
    </w:rPr>
  </w:style>
  <w:style w:type="character" w:customStyle="1" w:styleId="92">
    <w:name w:val=" Char Char"/>
    <w:uiPriority w:val="0"/>
    <w:rPr>
      <w:rFonts w:eastAsia="宋体"/>
      <w:b/>
      <w:bCs/>
      <w:kern w:val="2"/>
      <w:sz w:val="32"/>
      <w:szCs w:val="32"/>
      <w:lang w:val="en-US" w:eastAsia="zh-CN" w:bidi="ar-SA"/>
    </w:rPr>
  </w:style>
  <w:style w:type="character" w:customStyle="1" w:styleId="93">
    <w:name w:val="apple-style-span"/>
    <w:basedOn w:val="29"/>
    <w:uiPriority w:val="0"/>
  </w:style>
  <w:style w:type="character" w:customStyle="1" w:styleId="94">
    <w:name w:val="cc"/>
    <w:uiPriority w:val="0"/>
    <w:rPr>
      <w:rFonts w:eastAsia="宋体"/>
      <w:color w:val="FFFFFF"/>
      <w:sz w:val="21"/>
    </w:rPr>
  </w:style>
  <w:style w:type="character" w:customStyle="1" w:styleId="95">
    <w:name w:val="标题 1 Char"/>
    <w:link w:val="2"/>
    <w:uiPriority w:val="0"/>
    <w:rPr>
      <w:rFonts w:eastAsia="宋体"/>
      <w:bCs/>
      <w:kern w:val="44"/>
      <w:sz w:val="44"/>
      <w:szCs w:val="44"/>
      <w:lang w:val="en-US" w:eastAsia="zh-CN" w:bidi="ar-SA"/>
    </w:rPr>
  </w:style>
  <w:style w:type="paragraph" w:customStyle="1" w:styleId="96">
    <w:name w:val="font7"/>
    <w:basedOn w:val="1"/>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97">
    <w:name w:val="Char"/>
    <w:basedOn w:val="1"/>
    <w:uiPriority w:val="0"/>
    <w:rPr>
      <w:szCs w:val="20"/>
    </w:rPr>
  </w:style>
  <w:style w:type="paragraph" w:customStyle="1" w:styleId="98">
    <w:name w:val=" Char Char Char Char Char Char Char Char Char Char"/>
    <w:basedOn w:val="1"/>
    <w:uiPriority w:val="0"/>
    <w:pPr>
      <w:spacing w:line="240" w:lineRule="auto"/>
      <w:ind w:firstLine="0" w:firstLineChars="0"/>
    </w:pPr>
    <w:rPr>
      <w:rFonts w:eastAsia="宋体"/>
      <w:sz w:val="21"/>
    </w:rPr>
  </w:style>
  <w:style w:type="paragraph" w:customStyle="1" w:styleId="99">
    <w:name w:val="xl6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eastAsia="宋体"/>
      <w:kern w:val="0"/>
      <w:sz w:val="20"/>
      <w:szCs w:val="20"/>
    </w:rPr>
  </w:style>
  <w:style w:type="paragraph" w:customStyle="1" w:styleId="100">
    <w:name w:val="xl80"/>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黑体" w:hAnsi="黑体" w:eastAsia="黑体" w:cs="宋体"/>
      <w:kern w:val="0"/>
      <w:sz w:val="20"/>
      <w:szCs w:val="20"/>
    </w:rPr>
  </w:style>
  <w:style w:type="paragraph" w:styleId="101">
    <w:name w:val="List Paragraph"/>
    <w:basedOn w:val="1"/>
    <w:uiPriority w:val="0"/>
    <w:pPr>
      <w:ind w:firstLine="420" w:firstLineChars="200"/>
    </w:pPr>
    <w:rPr>
      <w:rFonts w:ascii="Calibri" w:hAnsi="Calibri"/>
      <w:szCs w:val="22"/>
    </w:rPr>
  </w:style>
  <w:style w:type="paragraph" w:customStyle="1" w:styleId="102">
    <w:name w:val="样式 正文首行缩进 + 首行缩进:  0 字符"/>
    <w:basedOn w:val="1"/>
    <w:uiPriority w:val="0"/>
    <w:pPr>
      <w:spacing w:after="120" w:afterLines="0"/>
      <w:ind w:firstLine="567"/>
    </w:pPr>
    <w:rPr>
      <w:rFonts w:eastAsia="仿宋_GB2312" w:cs="宋体"/>
      <w:sz w:val="28"/>
      <w:szCs w:val="28"/>
    </w:rPr>
  </w:style>
  <w:style w:type="paragraph" w:customStyle="1" w:styleId="103">
    <w:name w:val="xl8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right"/>
      <w:textAlignment w:val="center"/>
    </w:pPr>
    <w:rPr>
      <w:rFonts w:eastAsia="宋体"/>
      <w:kern w:val="0"/>
      <w:sz w:val="20"/>
      <w:szCs w:val="20"/>
    </w:rPr>
  </w:style>
  <w:style w:type="paragraph" w:customStyle="1" w:styleId="104">
    <w:name w:val="Char1 Char Char Char"/>
    <w:basedOn w:val="1"/>
    <w:qFormat/>
    <w:uiPriority w:val="0"/>
    <w:pPr>
      <w:widowControl/>
      <w:spacing w:after="160" w:afterLines="0" w:line="240" w:lineRule="exact"/>
      <w:jc w:val="left"/>
    </w:pPr>
  </w:style>
  <w:style w:type="paragraph" w:customStyle="1" w:styleId="105">
    <w:name w:val="msolistparagraph"/>
    <w:basedOn w:val="1"/>
    <w:qFormat/>
    <w:uiPriority w:val="0"/>
    <w:pPr>
      <w:ind w:firstLine="420" w:firstLineChars="200"/>
    </w:pPr>
    <w:rPr>
      <w:rFonts w:ascii="Calibri" w:hAnsi="Calibri"/>
      <w:szCs w:val="22"/>
    </w:rPr>
  </w:style>
  <w:style w:type="paragraph" w:customStyle="1" w:styleId="106">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right"/>
      <w:textAlignment w:val="center"/>
    </w:pPr>
    <w:rPr>
      <w:rFonts w:eastAsia="宋体"/>
      <w:kern w:val="0"/>
      <w:sz w:val="20"/>
      <w:szCs w:val="20"/>
    </w:rPr>
  </w:style>
  <w:style w:type="paragraph" w:customStyle="1" w:styleId="107">
    <w:name w:val="xl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黑体" w:hAnsi="黑体" w:eastAsia="黑体" w:cs="宋体"/>
      <w:kern w:val="0"/>
      <w:sz w:val="20"/>
      <w:szCs w:val="20"/>
    </w:rPr>
  </w:style>
  <w:style w:type="paragraph" w:customStyle="1" w:styleId="108">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xl83"/>
    <w:basedOn w:val="1"/>
    <w:uiPriority w:val="0"/>
    <w:pPr>
      <w:widowControl/>
      <w:spacing w:before="100" w:beforeLines="0" w:beforeAutospacing="1" w:after="100" w:afterLines="0" w:afterAutospacing="1" w:line="240" w:lineRule="auto"/>
      <w:ind w:firstLine="0" w:firstLineChars="0"/>
      <w:jc w:val="left"/>
      <w:textAlignment w:val="center"/>
    </w:pPr>
    <w:rPr>
      <w:rFonts w:eastAsia="宋体"/>
      <w:color w:val="FF0000"/>
      <w:kern w:val="0"/>
      <w:sz w:val="20"/>
      <w:szCs w:val="20"/>
    </w:rPr>
  </w:style>
  <w:style w:type="paragraph" w:customStyle="1" w:styleId="110">
    <w:name w:val="xl79"/>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黑体" w:hAnsi="黑体" w:eastAsia="黑体" w:cs="宋体"/>
      <w:kern w:val="0"/>
      <w:sz w:val="20"/>
      <w:szCs w:val="20"/>
    </w:rPr>
  </w:style>
  <w:style w:type="paragraph" w:customStyle="1" w:styleId="111">
    <w:name w:val="_Style 110"/>
    <w:basedOn w:val="2"/>
    <w:next w:val="1"/>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12">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仿宋_GB2312" w:hAnsi="宋体" w:eastAsia="仿宋_GB2312" w:cs="宋体"/>
      <w:kern w:val="0"/>
      <w:sz w:val="20"/>
      <w:szCs w:val="20"/>
    </w:rPr>
  </w:style>
  <w:style w:type="paragraph" w:customStyle="1" w:styleId="113">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eastAsia="宋体"/>
      <w:kern w:val="0"/>
      <w:sz w:val="20"/>
      <w:szCs w:val="20"/>
    </w:rPr>
  </w:style>
  <w:style w:type="paragraph" w:customStyle="1" w:styleId="114">
    <w:name w:val="xl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15">
    <w:name w:val="xl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eastAsia="宋体"/>
      <w:kern w:val="0"/>
      <w:sz w:val="20"/>
      <w:szCs w:val="20"/>
    </w:rPr>
  </w:style>
  <w:style w:type="paragraph" w:customStyle="1" w:styleId="116">
    <w:name w:val="xl65"/>
    <w:basedOn w:val="1"/>
    <w:uiPriority w:val="0"/>
    <w:pPr>
      <w:widowControl/>
      <w:spacing w:before="100" w:beforeLines="0" w:beforeAutospacing="1" w:after="100" w:afterLines="0" w:afterAutospacing="1" w:line="240" w:lineRule="auto"/>
      <w:ind w:firstLine="0" w:firstLineChars="0"/>
      <w:jc w:val="left"/>
      <w:textAlignment w:val="center"/>
    </w:pPr>
    <w:rPr>
      <w:rFonts w:eastAsia="宋体"/>
      <w:kern w:val="0"/>
      <w:sz w:val="20"/>
      <w:szCs w:val="20"/>
    </w:rPr>
  </w:style>
  <w:style w:type="paragraph" w:customStyle="1" w:styleId="117">
    <w:name w:val="p0"/>
    <w:basedOn w:val="1"/>
    <w:uiPriority w:val="0"/>
    <w:pPr>
      <w:widowControl/>
      <w:spacing w:line="365" w:lineRule="atLeast"/>
      <w:ind w:left="1"/>
      <w:textAlignment w:val="bottom"/>
    </w:pPr>
    <w:rPr>
      <w:kern w:val="0"/>
      <w:sz w:val="20"/>
      <w:szCs w:val="20"/>
    </w:rPr>
  </w:style>
  <w:style w:type="paragraph" w:customStyle="1" w:styleId="118">
    <w:name w:val="Char Char Char Char Char Char Char"/>
    <w:basedOn w:val="1"/>
    <w:uiPriority w:val="0"/>
    <w:rPr>
      <w:szCs w:val="21"/>
    </w:rPr>
  </w:style>
  <w:style w:type="paragraph" w:customStyle="1" w:styleId="119">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eastAsia="宋体"/>
      <w:kern w:val="0"/>
      <w:sz w:val="20"/>
      <w:szCs w:val="20"/>
    </w:rPr>
  </w:style>
  <w:style w:type="paragraph" w:customStyle="1" w:styleId="120">
    <w:name w:val="xl8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黑体" w:hAnsi="黑体" w:eastAsia="黑体" w:cs="宋体"/>
      <w:kern w:val="0"/>
      <w:sz w:val="20"/>
      <w:szCs w:val="20"/>
    </w:rPr>
  </w:style>
  <w:style w:type="paragraph" w:customStyle="1" w:styleId="121">
    <w:name w:val=" Char Char Char Char Char Char Char Char Char"/>
    <w:basedOn w:val="1"/>
    <w:uiPriority w:val="0"/>
    <w:pPr>
      <w:snapToGrid w:val="0"/>
      <w:spacing w:line="440" w:lineRule="atLeast"/>
    </w:pPr>
    <w:rPr>
      <w:rFonts w:ascii="宋体"/>
      <w:sz w:val="24"/>
    </w:rPr>
  </w:style>
  <w:style w:type="paragraph" w:customStyle="1" w:styleId="122">
    <w:name w:val="Char Char Char Char"/>
    <w:basedOn w:val="1"/>
    <w:next w:val="1"/>
    <w:uiPriority w:val="0"/>
    <w:pPr>
      <w:keepNext/>
      <w:keepLines/>
      <w:widowControl/>
      <w:adjustRightInd w:val="0"/>
      <w:spacing w:before="40" w:beforeLines="0" w:after="40" w:afterLines="0"/>
      <w:ind w:firstLine="200"/>
      <w:outlineLvl w:val="3"/>
    </w:pPr>
    <w:rPr>
      <w:rFonts w:eastAsia="宋体"/>
      <w:sz w:val="21"/>
    </w:rPr>
  </w:style>
  <w:style w:type="paragraph" w:customStyle="1" w:styleId="123">
    <w:name w:val="font8"/>
    <w:basedOn w:val="1"/>
    <w:uiPriority w:val="0"/>
    <w:pPr>
      <w:widowControl/>
      <w:spacing w:before="100" w:beforeLines="0" w:beforeAutospacing="1" w:after="100" w:afterLines="0" w:afterAutospacing="1" w:line="240" w:lineRule="auto"/>
      <w:ind w:firstLine="0" w:firstLineChars="0"/>
      <w:jc w:val="left"/>
    </w:pPr>
    <w:rPr>
      <w:rFonts w:ascii="宋体" w:hAnsi="宋体" w:eastAsia="宋体" w:cs="宋体"/>
      <w:kern w:val="0"/>
      <w:sz w:val="20"/>
      <w:szCs w:val="20"/>
    </w:rPr>
  </w:style>
  <w:style w:type="paragraph" w:customStyle="1" w:styleId="124">
    <w:name w:val="默认段落字体 Para Char Char Char Char"/>
    <w:basedOn w:val="1"/>
    <w:uiPriority w:val="0"/>
  </w:style>
  <w:style w:type="paragraph" w:customStyle="1" w:styleId="125">
    <w:name w:val=" Char"/>
    <w:basedOn w:val="1"/>
    <w:qFormat/>
    <w:uiPriority w:val="0"/>
    <w:pPr>
      <w:spacing w:before="100" w:beforeLines="0" w:beforeAutospacing="1" w:after="100" w:afterLines="0" w:afterAutospacing="1" w:line="240" w:lineRule="auto"/>
      <w:ind w:firstLine="0" w:firstLineChars="0"/>
    </w:pPr>
    <w:rPr>
      <w:rFonts w:ascii="仿宋_GB2312" w:eastAsia="仿宋_GB2312"/>
      <w:b/>
      <w:sz w:val="21"/>
    </w:rPr>
  </w:style>
  <w:style w:type="paragraph" w:customStyle="1" w:styleId="126">
    <w:name w:val="font6"/>
    <w:basedOn w:val="1"/>
    <w:uiPriority w:val="0"/>
    <w:pPr>
      <w:widowControl/>
      <w:spacing w:before="100" w:beforeLines="0" w:beforeAutospacing="1" w:after="100" w:afterLines="0" w:afterAutospacing="1" w:line="240" w:lineRule="auto"/>
      <w:ind w:firstLine="0" w:firstLineChars="0"/>
      <w:jc w:val="left"/>
    </w:pPr>
    <w:rPr>
      <w:rFonts w:eastAsia="宋体"/>
      <w:kern w:val="0"/>
      <w:sz w:val="20"/>
      <w:szCs w:val="20"/>
    </w:rPr>
  </w:style>
  <w:style w:type="paragraph" w:customStyle="1" w:styleId="127">
    <w:name w:val=" Char Char Char"/>
    <w:basedOn w:val="1"/>
    <w:uiPriority w:val="0"/>
    <w:pPr>
      <w:snapToGrid w:val="0"/>
      <w:spacing w:line="440" w:lineRule="atLeast"/>
    </w:pPr>
    <w:rPr>
      <w:rFonts w:ascii="宋体"/>
      <w:sz w:val="24"/>
    </w:rPr>
  </w:style>
  <w:style w:type="paragraph" w:customStyle="1" w:styleId="128">
    <w:name w:val="xl85"/>
    <w:basedOn w:val="1"/>
    <w:uiPriority w:val="0"/>
    <w:pPr>
      <w:widowControl/>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129">
    <w:name w:val="xl8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right"/>
      <w:textAlignment w:val="center"/>
    </w:pPr>
    <w:rPr>
      <w:rFonts w:eastAsia="宋体"/>
      <w:kern w:val="0"/>
      <w:sz w:val="20"/>
      <w:szCs w:val="20"/>
    </w:rPr>
  </w:style>
  <w:style w:type="paragraph" w:customStyle="1" w:styleId="130">
    <w:name w:val="xl86"/>
    <w:basedOn w:val="1"/>
    <w:uiPriority w:val="0"/>
    <w:pPr>
      <w:widowControl/>
      <w:spacing w:before="100" w:beforeLines="0" w:beforeAutospacing="1" w:after="100" w:afterLines="0" w:afterAutospacing="1" w:line="240" w:lineRule="auto"/>
      <w:ind w:firstLine="0" w:firstLineChars="0"/>
      <w:jc w:val="center"/>
    </w:pPr>
    <w:rPr>
      <w:rFonts w:ascii="宋体" w:hAnsi="宋体" w:eastAsia="宋体" w:cs="宋体"/>
      <w:kern w:val="0"/>
      <w:sz w:val="24"/>
    </w:rPr>
  </w:style>
  <w:style w:type="paragraph" w:customStyle="1" w:styleId="131">
    <w:name w:val=" Char4"/>
    <w:basedOn w:val="1"/>
    <w:uiPriority w:val="0"/>
    <w:pPr>
      <w:spacing w:line="240" w:lineRule="auto"/>
      <w:ind w:firstLine="0" w:firstLineChars="0"/>
    </w:pPr>
    <w:rPr>
      <w:rFonts w:ascii="仿宋_GB2312" w:eastAsia="仿宋_GB2312"/>
      <w:b/>
      <w:szCs w:val="32"/>
    </w:rPr>
  </w:style>
  <w:style w:type="paragraph" w:customStyle="1" w:styleId="132">
    <w:name w:val="xl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right"/>
      <w:textAlignment w:val="center"/>
    </w:pPr>
    <w:rPr>
      <w:rFonts w:eastAsia="宋体"/>
      <w:kern w:val="0"/>
      <w:sz w:val="20"/>
      <w:szCs w:val="20"/>
    </w:rPr>
  </w:style>
  <w:style w:type="paragraph" w:customStyle="1" w:styleId="133">
    <w:name w:val="xl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仿宋_GB2312" w:hAnsi="宋体" w:eastAsia="仿宋_GB2312" w:cs="宋体"/>
      <w:kern w:val="0"/>
      <w:sz w:val="20"/>
      <w:szCs w:val="20"/>
    </w:rPr>
  </w:style>
  <w:style w:type="paragraph" w:customStyle="1" w:styleId="13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right"/>
      <w:textAlignment w:val="center"/>
    </w:pPr>
    <w:rPr>
      <w:rFonts w:eastAsia="宋体"/>
      <w:kern w:val="0"/>
      <w:sz w:val="20"/>
      <w:szCs w:val="20"/>
    </w:rPr>
  </w:style>
  <w:style w:type="paragraph" w:customStyle="1" w:styleId="135">
    <w:name w:val="xl66"/>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黑体" w:hAnsi="黑体" w:eastAsia="黑体" w:cs="宋体"/>
      <w:kern w:val="0"/>
      <w:sz w:val="20"/>
      <w:szCs w:val="20"/>
    </w:rPr>
  </w:style>
  <w:style w:type="paragraph" w:customStyle="1" w:styleId="136">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right"/>
      <w:textAlignment w:val="center"/>
    </w:pPr>
    <w:rPr>
      <w:rFonts w:eastAsia="宋体"/>
      <w:kern w:val="0"/>
      <w:sz w:val="20"/>
      <w:szCs w:val="20"/>
    </w:rPr>
  </w:style>
  <w:style w:type="paragraph" w:customStyle="1" w:styleId="137">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38">
    <w:name w:val="xl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黑体" w:hAnsi="黑体" w:eastAsia="黑体" w:cs="宋体"/>
      <w:kern w:val="0"/>
      <w:sz w:val="20"/>
      <w:szCs w:val="20"/>
    </w:rPr>
  </w:style>
  <w:style w:type="paragraph" w:customStyle="1" w:styleId="139">
    <w:name w:val="p15"/>
    <w:qFormat/>
    <w:uiPriority w:val="0"/>
    <w:pPr>
      <w:ind w:firstLine="420"/>
    </w:pPr>
    <w:rPr>
      <w:rFonts w:ascii="Times New Roman" w:hAnsi="Times New Roman" w:eastAsia="宋体" w:cstheme="minorBidi"/>
      <w:szCs w:val="21"/>
      <w:lang w:val="en-US" w:eastAsia="zh-CN" w:bidi="ar-SA"/>
    </w:rPr>
  </w:style>
  <w:style w:type="paragraph" w:customStyle="1" w:styleId="140">
    <w:name w:val="font5"/>
    <w:basedOn w:val="1"/>
    <w:uiPriority w:val="0"/>
    <w:pPr>
      <w:widowControl/>
      <w:spacing w:before="100" w:beforeLines="0" w:beforeAutospacing="1" w:after="100" w:afterLines="0" w:afterAutospacing="1" w:line="240" w:lineRule="auto"/>
      <w:ind w:firstLine="0" w:firstLineChars="0"/>
      <w:jc w:val="left"/>
    </w:pPr>
    <w:rPr>
      <w:rFonts w:ascii="宋体" w:hAnsi="宋体" w:eastAsia="宋体" w:cs="宋体"/>
      <w:kern w:val="0"/>
      <w:sz w:val="18"/>
      <w:szCs w:val="18"/>
    </w:rPr>
  </w:style>
  <w:style w:type="paragraph" w:customStyle="1" w:styleId="141">
    <w:name w:val="xl67"/>
    <w:basedOn w:val="1"/>
    <w:qFormat/>
    <w:uiPriority w:val="0"/>
    <w:pPr>
      <w:widowControl/>
      <w:spacing w:before="100" w:beforeLines="0" w:beforeAutospacing="1" w:after="100" w:afterLines="0" w:afterAutospacing="1" w:line="240" w:lineRule="auto"/>
      <w:ind w:firstLine="0" w:firstLineChars="0"/>
      <w:jc w:val="center"/>
      <w:textAlignment w:val="center"/>
    </w:pPr>
    <w:rPr>
      <w:rFonts w:eastAsia="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94</Pages>
  <Words>54098</Words>
  <Characters>58447</Characters>
  <Lines>461</Lines>
  <Paragraphs>129</Paragraphs>
  <TotalTime>0</TotalTime>
  <ScaleCrop>false</ScaleCrop>
  <LinksUpToDate>false</LinksUpToDate>
  <CharactersWithSpaces>58847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2016-08-06T07:52:00Z</dcterms:created>
  <dc:creator>Administrator</dc:creator>
  <cp:lastModifiedBy>许文宇</cp:lastModifiedBy>
  <cp:lastPrinted>2016-02-03T02:09:00Z</cp:lastPrinted>
  <dcterms:modified xsi:type="dcterms:W3CDTF">2022-06-24T08:45:43Z</dcterms:modified>
  <dc:title>陕西省“十二五”循环经济发展规划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C053103329AA46E3AC0D8E73D5698966</vt:lpwstr>
  </property>
</Properties>
</file>