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rPr>
          <w:rFonts w:hint="eastAsia" w:ascii="黑体" w:hAnsi="黑体" w:eastAsia="黑体" w:cs="仿宋_GB2312"/>
          <w:sz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陕西省**市冷链物流发展情况报告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z w:val="44"/>
          <w:szCs w:val="36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4"/>
          <w:lang w:val="en-US" w:eastAsia="zh-CN"/>
        </w:rPr>
        <w:t>一、**市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冷链物流行业市场需求分析及测算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近三年**市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人口结构、GDP、产业结构情况，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各市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果蔬类、肉禽蛋类及其制品、水产品及其制品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>乳制品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>速冻食品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>医药类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等产量统计数据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冷链物流费用占当地GDP及物流总费用的百分比。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2.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按照复合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年均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增长率法，测算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2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2-20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30年果蔬类、肉禽蛋类及其制品、水产品及其制品、乳制品、速冻食品、医药类等冷链物流需求量（万吨）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总结各市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 xml:space="preserve">冷链物流市场特征及发展趋势。 </w:t>
      </w:r>
    </w:p>
    <w:p>
      <w:p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bookmarkStart w:id="0" w:name="_Hlk90454494"/>
      <w:r>
        <w:rPr>
          <w:rFonts w:hint="default" w:ascii="Times New Roman" w:hAnsi="Times New Roman" w:eastAsia="黑体" w:cs="Times New Roman"/>
          <w:b w:val="0"/>
          <w:bCs w:val="0"/>
          <w:sz w:val="32"/>
          <w:szCs w:val="24"/>
          <w:lang w:val="en-US" w:eastAsia="zh-CN"/>
        </w:rPr>
        <w:t>二、**市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冷链物流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业务发展情况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冷链物流服务模式情况。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2.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冷链物流业务类型情况。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冷链物流细分领域情况。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4.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冷链物流运营主体情况。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冷链物流信息系统/平台建设情况。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6.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冷链物流进行全程温湿度监控和环境调整情况。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冷链物流总体及各细分领域的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流通率、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周转率、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运输率、损耗率等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情况。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8.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当地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冷链物流龙头企业及市场占比情况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三、**市冷库现状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冷库总规模情况。（库容规模/温湿度监控体系覆盖面积；平均仓租/平均冷链物流成本（可细分至各区县））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2.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冷链物流基地（园区、中心）分布情况。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124"/>
        <w:gridCol w:w="768"/>
        <w:gridCol w:w="1132"/>
        <w:gridCol w:w="1046"/>
        <w:gridCol w:w="801"/>
        <w:gridCol w:w="115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国家骨干冷链物流基地/产销冷链集配中心/两端冷链物流设施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（具体乡镇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街道）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品类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冷库面积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库容规模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u w:val="none"/>
                <w:lang w:val="en-US" w:eastAsia="zh-CN"/>
              </w:rPr>
              <w:t>万吨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）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周转率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（%）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投资主体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及运营主体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地图中标记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1"/>
                <w:vertAlign w:val="baseline"/>
                <w:lang w:val="en-US" w:eastAsia="zh-CN"/>
              </w:rPr>
              <w:t>具体位置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（备注：宝鸡市重点说明国家骨干冷链物流基地建设运营情况）。</w:t>
      </w:r>
    </w:p>
    <w:p>
      <w:pP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按温度区分冷库类型统计情况。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4.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按库体分冷库类型统计情况。（重点关注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农产品产地源头冷链物流保鲜设施、预冷设施设备投入情况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及当地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移动冷库、共享设施的使用情况。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按制冷剂分冷库类型统计情况。</w:t>
      </w:r>
    </w:p>
    <w:p>
      <w:pP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6.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冷库管理运行情况。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**市冷链运输车现状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冷链运输车辆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使用情况。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冷藏车型号情况。</w:t>
      </w:r>
    </w:p>
    <w:p>
      <w:p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冷藏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运输温区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情况。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**市其他冷链设施配套现状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堆场、运输集装箱情况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下一步考虑</w:t>
      </w:r>
    </w:p>
    <w:p>
      <w:p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各市根据当地冷链物流发展的调研情况，通过SWOT分析法提出各市冷链物流发展存在的优势、劣势、机遇与威胁，同时针对当地冷链物流网络布局、业务发展等提出具体措施，及对相关协同部门提出具体诉求。</w:t>
      </w:r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  <w:r>
      <w:rPr>
        <w:rFonts w:hint="eastAsia" w:ascii="宋体" w:hAnsi="宋体" w:eastAsia="宋体"/>
        <w:sz w:val="24"/>
        <w:lang w:eastAsia="zh-CN"/>
      </w:rPr>
      <w:t xml:space="preserve">- </w:t>
    </w:r>
    <w:r>
      <w:rPr>
        <w:rFonts w:hint="eastAsia" w:ascii="宋体" w:hAnsi="宋体" w:eastAsia="宋体"/>
        <w:sz w:val="24"/>
        <w:lang w:eastAsia="zh-CN"/>
      </w:rPr>
      <w:fldChar w:fldCharType="begin"/>
    </w:r>
    <w:r>
      <w:rPr>
        <w:rFonts w:hint="eastAsia" w:ascii="宋体" w:hAnsi="宋体" w:eastAsia="宋体"/>
        <w:sz w:val="24"/>
        <w:lang w:eastAsia="zh-CN"/>
      </w:rPr>
      <w:instrText xml:space="preserve"> PAGE  \* MERGEFORMAT </w:instrText>
    </w:r>
    <w:r>
      <w:rPr>
        <w:rFonts w:hint="eastAsia" w:ascii="宋体" w:hAnsi="宋体" w:eastAsia="宋体"/>
        <w:sz w:val="24"/>
        <w:lang w:eastAsia="zh-CN"/>
      </w:rPr>
      <w:fldChar w:fldCharType="separate"/>
    </w:r>
    <w:r>
      <w:t>1</w:t>
    </w:r>
    <w:r>
      <w:rPr>
        <w:rFonts w:hint="eastAsia" w:ascii="宋体" w:hAnsi="宋体" w:eastAsia="宋体"/>
        <w:sz w:val="24"/>
        <w:lang w:eastAsia="zh-CN"/>
      </w:rPr>
      <w:fldChar w:fldCharType="end"/>
    </w:r>
    <w:r>
      <w:rPr>
        <w:rFonts w:hint="eastAsia" w:ascii="宋体" w:hAnsi="宋体" w:eastAsia="宋体"/>
        <w:sz w:val="24"/>
        <w:lang w:eastAsia="zh-C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3771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iPriority w:val="0"/>
    <w:pPr>
      <w:keepNext/>
      <w:keepLines/>
      <w:spacing w:line="600" w:lineRule="exact"/>
      <w:ind w:firstLine="880" w:firstLineChars="200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line="600" w:lineRule="exact"/>
      <w:outlineLvl w:val="2"/>
    </w:pPr>
    <w:rPr>
      <w:b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2021-01-23T07:58:00Z</dcterms:created>
  <dc:creator>surface</dc:creator>
  <cp:lastModifiedBy>WPS_1601169991</cp:lastModifiedBy>
  <cp:lastPrinted>2021-12-24T06:25:14Z</cp:lastPrinted>
  <dcterms:modified xsi:type="dcterms:W3CDTF">2021-12-27T07:29:39Z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AB6B8DE5E65340E1A478FDB9D1F96E65</vt:lpwstr>
  </property>
</Properties>
</file>