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 w:val="32"/>
          <w:szCs w:val="20"/>
          <w:lang w:val="en-US" w:eastAsia="zh-CN"/>
        </w:rPr>
      </w:pPr>
      <w:r>
        <w:rPr>
          <w:rFonts w:hint="eastAsia" w:ascii="黑体" w:hAnsi="黑体" w:eastAsia="黑体"/>
          <w:sz w:val="32"/>
          <w:szCs w:val="2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  <w:lang w:val="en-US" w:eastAsia="zh-CN"/>
        </w:rPr>
        <w:t>项目</w:t>
      </w:r>
      <w:r>
        <w:rPr>
          <w:rFonts w:hint="eastAsia" w:ascii="方正小标宋简体" w:hAnsi="方正小标宋简体" w:eastAsia="方正小标宋简体"/>
          <w:sz w:val="40"/>
          <w:szCs w:val="40"/>
        </w:rPr>
        <w:t>绩效目标汇总表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楷体_GB2312" w:cs="Times New Roman"/>
          <w:sz w:val="30"/>
          <w:szCs w:val="30"/>
        </w:rPr>
        <w:t>（202</w:t>
      </w:r>
      <w:r>
        <w:rPr>
          <w:rFonts w:hint="default" w:ascii="Times New Roman" w:hAnsi="Times New Roman" w:eastAsia="楷体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sz w:val="30"/>
          <w:szCs w:val="30"/>
        </w:rPr>
        <w:t>年度）</w:t>
      </w:r>
    </w:p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34"/>
        <w:gridCol w:w="1559"/>
        <w:gridCol w:w="181"/>
        <w:gridCol w:w="350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专项名称</w:t>
            </w:r>
          </w:p>
        </w:tc>
        <w:tc>
          <w:tcPr>
            <w:tcW w:w="5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重点流域水环境综合治理专项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下达地方或单位</w:t>
            </w:r>
          </w:p>
        </w:tc>
        <w:tc>
          <w:tcPr>
            <w:tcW w:w="5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2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本次下达中央预算内投资（万元）</w:t>
            </w:r>
          </w:p>
        </w:tc>
        <w:tc>
          <w:tcPr>
            <w:tcW w:w="5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总体目标</w:t>
            </w:r>
          </w:p>
        </w:tc>
        <w:tc>
          <w:tcPr>
            <w:tcW w:w="825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</w:rPr>
              <w:t>工程全部建成后，预计可</w:t>
            </w:r>
            <w:r>
              <w:rPr>
                <w:rFonts w:hint="eastAsia" w:ascii="Times New Roman" w:hAnsi="Times New Roman" w:eastAsia="方正仿宋_GBK" w:cs="Times New Roman"/>
                <w:sz w:val="21"/>
                <w:lang w:eastAsia="zh-CN"/>
              </w:rPr>
              <w:t>建成（</w:t>
            </w:r>
            <w:r>
              <w:rPr>
                <w:rFonts w:hint="eastAsia" w:ascii="Times New Roman" w:hAnsi="Times New Roman" w:eastAsia="方正仿宋_GBK" w:cs="Times New Roman"/>
                <w:sz w:val="21"/>
              </w:rPr>
              <w:t>实现</w:t>
            </w:r>
            <w:r>
              <w:rPr>
                <w:rFonts w:hint="eastAsia" w:ascii="Times New Roman" w:hAnsi="Times New Roman" w:eastAsia="方正仿宋_GBK" w:cs="Times New Roman"/>
                <w:sz w:val="21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</w:rPr>
              <w:t>绩</w:t>
            </w:r>
            <w:r>
              <w:rPr>
                <w:rFonts w:ascii="Times New Roman" w:hAnsi="Times New Roman" w:eastAsia="方正仿宋_GBK" w:cs="Times New Roman"/>
                <w:sz w:val="21"/>
              </w:rPr>
              <w:t>效指标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一级指标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二级指标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三级指标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指标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产出指标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</w:rPr>
              <w:t>河道湖库垃圾清理量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</w:rPr>
              <w:t>河湖污染底泥清理量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建设生态护岸长度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建设人工湿地面积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建设生态隔离带面积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建设污水处理能力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建设污水提标改造能力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建设中水回用能力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建设污水管网长度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建设污泥处理能力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建设垃圾收运能力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效益指标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带动其他投资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满意度指标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地方满意度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过程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指标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计划管理指标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投资计划分解用时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“两个责任”按项目落实到位率</w:t>
            </w:r>
          </w:p>
        </w:tc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资金管理指标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中央预算内投资支付率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总投资完成率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项目管理指标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项目开工率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超规模、超标准、超概算项目比例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0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监督检查指标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  <w:r>
              <w:rPr>
                <w:rFonts w:ascii="Times New Roman" w:hAnsi="Times New Roman" w:eastAsia="方正仿宋_GBK" w:cs="Times New Roman"/>
                <w:sz w:val="21"/>
              </w:rPr>
              <w:t>审计、督查、巡视等指出问题项目比例</w:t>
            </w:r>
          </w:p>
        </w:tc>
        <w:tc>
          <w:tcPr>
            <w:tcW w:w="19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 w:eastAsia="方正仿宋_GBK" w:cs="Times New Roman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D0385"/>
    <w:rsid w:val="37E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2020-11-30T01:20:00Z</dcterms:created>
  <dc:creator>许文宇</dc:creator>
  <cp:lastModifiedBy>许文宇</cp:lastModifiedBy>
  <dcterms:modified xsi:type="dcterms:W3CDTF">2020-11-30T01:22:35Z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